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EB77" w14:textId="092B9467" w:rsidR="00DF0D72" w:rsidRDefault="004A4631" w:rsidP="002E5180">
      <w:pPr>
        <w:spacing w:after="0"/>
        <w:ind w:firstLine="709"/>
        <w:jc w:val="center"/>
        <w:rPr>
          <w:rFonts w:ascii="Times New Roman" w:hAnsi="Times New Roman" w:cs="Times New Roman"/>
          <w:b/>
          <w:bCs/>
          <w:sz w:val="28"/>
          <w:szCs w:val="28"/>
        </w:rPr>
      </w:pPr>
      <w:r w:rsidRPr="002E5180">
        <w:rPr>
          <w:rFonts w:ascii="Times New Roman" w:hAnsi="Times New Roman" w:cs="Times New Roman"/>
          <w:b/>
          <w:bCs/>
          <w:sz w:val="28"/>
          <w:szCs w:val="28"/>
        </w:rPr>
        <w:t xml:space="preserve">Тема </w:t>
      </w:r>
      <w:r w:rsidR="0010180F">
        <w:rPr>
          <w:rFonts w:ascii="Times New Roman" w:hAnsi="Times New Roman" w:cs="Times New Roman"/>
          <w:b/>
          <w:bCs/>
          <w:sz w:val="28"/>
          <w:szCs w:val="28"/>
        </w:rPr>
        <w:t>9</w:t>
      </w:r>
      <w:r w:rsidRPr="002E5180">
        <w:rPr>
          <w:rFonts w:ascii="Times New Roman" w:hAnsi="Times New Roman" w:cs="Times New Roman"/>
          <w:b/>
          <w:bCs/>
          <w:sz w:val="28"/>
          <w:szCs w:val="28"/>
        </w:rPr>
        <w:t>. Українськи землі у складі Російської та Австрійської імперії (друга половина ХІХ ст.).</w:t>
      </w:r>
    </w:p>
    <w:p w14:paraId="2A5DE48F" w14:textId="6F160947" w:rsidR="002E5180" w:rsidRDefault="002E5180" w:rsidP="002E5180">
      <w:pPr>
        <w:spacing w:after="0"/>
        <w:ind w:firstLine="709"/>
        <w:jc w:val="center"/>
        <w:rPr>
          <w:rFonts w:ascii="Times New Roman" w:hAnsi="Times New Roman" w:cs="Times New Roman"/>
          <w:b/>
          <w:bCs/>
          <w:sz w:val="28"/>
          <w:szCs w:val="28"/>
        </w:rPr>
      </w:pPr>
    </w:p>
    <w:p w14:paraId="7B16E67E" w14:textId="77777777" w:rsidR="002E5180" w:rsidRPr="002E5180" w:rsidRDefault="002E5180" w:rsidP="002E5180">
      <w:pPr>
        <w:pStyle w:val="a4"/>
        <w:numPr>
          <w:ilvl w:val="0"/>
          <w:numId w:val="1"/>
        </w:numPr>
        <w:spacing w:after="0" w:line="240" w:lineRule="auto"/>
        <w:ind w:left="0" w:firstLine="107"/>
        <w:rPr>
          <w:sz w:val="28"/>
          <w:szCs w:val="28"/>
        </w:rPr>
      </w:pPr>
      <w:r w:rsidRPr="002E5180">
        <w:rPr>
          <w:sz w:val="28"/>
          <w:szCs w:val="28"/>
        </w:rPr>
        <w:t xml:space="preserve">Реформи 60-70-х років ХІХ ст. та їхній вплив на розвиток Наддніпрянщини. </w:t>
      </w:r>
    </w:p>
    <w:p w14:paraId="3895627D" w14:textId="791569EC" w:rsidR="002E5180" w:rsidRPr="002E5180" w:rsidRDefault="002E5180" w:rsidP="002E5180">
      <w:pPr>
        <w:pStyle w:val="a4"/>
        <w:numPr>
          <w:ilvl w:val="0"/>
          <w:numId w:val="1"/>
        </w:numPr>
        <w:spacing w:after="0" w:line="240" w:lineRule="auto"/>
        <w:ind w:left="0" w:firstLine="107"/>
        <w:rPr>
          <w:sz w:val="28"/>
          <w:szCs w:val="28"/>
        </w:rPr>
      </w:pPr>
      <w:r w:rsidRPr="002E5180">
        <w:rPr>
          <w:sz w:val="28"/>
          <w:szCs w:val="28"/>
        </w:rPr>
        <w:t>Західноукраїнські землі у другій половині ХІХ ст.</w:t>
      </w:r>
    </w:p>
    <w:p w14:paraId="3B6EE600" w14:textId="4BC9B20B" w:rsidR="002E5180" w:rsidRDefault="002E5180" w:rsidP="002E5180">
      <w:pPr>
        <w:pStyle w:val="a4"/>
        <w:numPr>
          <w:ilvl w:val="0"/>
          <w:numId w:val="1"/>
        </w:numPr>
        <w:spacing w:after="0" w:line="240" w:lineRule="auto"/>
        <w:ind w:left="0" w:firstLine="107"/>
        <w:rPr>
          <w:sz w:val="28"/>
          <w:szCs w:val="28"/>
        </w:rPr>
      </w:pPr>
      <w:r w:rsidRPr="002E5180">
        <w:rPr>
          <w:sz w:val="28"/>
          <w:szCs w:val="28"/>
        </w:rPr>
        <w:t>Суспільно-політичні рухи в України.</w:t>
      </w:r>
    </w:p>
    <w:p w14:paraId="568604A2" w14:textId="1F51ED65" w:rsidR="002E5180" w:rsidRPr="00045FE1" w:rsidRDefault="00045FE1" w:rsidP="00045FE1">
      <w:pPr>
        <w:pStyle w:val="a4"/>
        <w:numPr>
          <w:ilvl w:val="0"/>
          <w:numId w:val="1"/>
        </w:numPr>
        <w:rPr>
          <w:sz w:val="28"/>
          <w:szCs w:val="28"/>
        </w:rPr>
      </w:pPr>
      <w:r w:rsidRPr="00045FE1">
        <w:rPr>
          <w:sz w:val="28"/>
          <w:szCs w:val="28"/>
        </w:rPr>
        <w:t>Українська культура у другій половині ХІХ ст.</w:t>
      </w:r>
    </w:p>
    <w:p w14:paraId="14BFC3C7" w14:textId="585B948E" w:rsidR="002E5180" w:rsidRPr="002E5180" w:rsidRDefault="002E5180" w:rsidP="002E5180">
      <w:pPr>
        <w:spacing w:after="0" w:line="240" w:lineRule="auto"/>
        <w:ind w:left="107"/>
        <w:jc w:val="both"/>
        <w:rPr>
          <w:sz w:val="28"/>
          <w:szCs w:val="28"/>
        </w:rPr>
      </w:pPr>
      <w:r w:rsidRPr="002E5180">
        <w:rPr>
          <w:rFonts w:ascii="Times New Roman" w:hAnsi="Times New Roman" w:cs="Times New Roman"/>
          <w:b/>
          <w:bCs/>
          <w:sz w:val="28"/>
          <w:szCs w:val="28"/>
        </w:rPr>
        <w:t>1.</w:t>
      </w:r>
      <w:r w:rsidRPr="002E5180">
        <w:rPr>
          <w:rFonts w:ascii="Times New Roman" w:hAnsi="Times New Roman" w:cs="Times New Roman"/>
          <w:b/>
          <w:bCs/>
          <w:sz w:val="28"/>
          <w:szCs w:val="28"/>
        </w:rPr>
        <w:tab/>
        <w:t>Реформи 60-70-х років ХІХ ст. та їхній вплив на розвиток Наддніпрянщини</w:t>
      </w:r>
      <w:r w:rsidRPr="002E5180">
        <w:rPr>
          <w:sz w:val="28"/>
          <w:szCs w:val="28"/>
        </w:rPr>
        <w:t xml:space="preserve">. </w:t>
      </w:r>
    </w:p>
    <w:p w14:paraId="6630D25C" w14:textId="77777777" w:rsidR="002E5180"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Особливості економічного розвитку українських земель напередодні 1861 р.: </w:t>
      </w:r>
    </w:p>
    <w:p w14:paraId="5E51E9A1" w14:textId="77777777" w:rsidR="002E5180"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1) провідну роль в економіці посідало сільськогосподарське виробництво;</w:t>
      </w:r>
    </w:p>
    <w:p w14:paraId="1FE4D3A7" w14:textId="77777777" w:rsidR="002E5180"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2) в аграрному секторі спостерігається занепад поміщицьких господарств, які функціонували за рахунок екстенсивних методів господарювання і посилення експлуатації селян; </w:t>
      </w:r>
    </w:p>
    <w:p w14:paraId="7B15601E" w14:textId="77777777" w:rsidR="002E5180"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3) у промисловості починає формуватися капіталістичний сектор, розвиток якого гальмує кріпосне право, що стримувало формування ринку вільної робочої сили – однієї з необхідних передумов розвитку капіталістичної промисловості та підприємництва; </w:t>
      </w:r>
    </w:p>
    <w:p w14:paraId="1176023B" w14:textId="77777777" w:rsidR="002E5180"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4) усі ці чинники зумовили відставання Росії й українських земель у її складі від економічно розвинених європейських держав. </w:t>
      </w:r>
    </w:p>
    <w:p w14:paraId="7AC54C1A" w14:textId="77777777" w:rsidR="002E5180"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Криза феодально-кріпосницької системи і загострення на цьому ґрунті соціальних суперечностей зумовили активізацію суспільного руху за модернізацію суспільства. Головним питанням цього руху була </w:t>
      </w:r>
      <w:r w:rsidRPr="002E5180">
        <w:rPr>
          <w:rFonts w:ascii="Times New Roman" w:hAnsi="Times New Roman" w:cs="Times New Roman"/>
          <w:i/>
          <w:iCs/>
          <w:sz w:val="28"/>
          <w:szCs w:val="28"/>
        </w:rPr>
        <w:t>ліквідація кріпосного права</w:t>
      </w:r>
      <w:r w:rsidRPr="002E5180">
        <w:rPr>
          <w:rFonts w:ascii="Times New Roman" w:hAnsi="Times New Roman" w:cs="Times New Roman"/>
          <w:sz w:val="28"/>
          <w:szCs w:val="28"/>
        </w:rPr>
        <w:t xml:space="preserve">. Основною рушійною силою проти кріпосництва виступило селянство. Саме воно масовими протестами підштовхувало правлячі кола до реформ. </w:t>
      </w:r>
    </w:p>
    <w:p w14:paraId="70D88B5F" w14:textId="77777777" w:rsidR="00A01A8F"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 суспільному русі напередодні реформи сформувалося 2 течії: </w:t>
      </w:r>
      <w:r w:rsidRPr="00A01A8F">
        <w:rPr>
          <w:rFonts w:ascii="Times New Roman" w:hAnsi="Times New Roman" w:cs="Times New Roman"/>
          <w:i/>
          <w:iCs/>
          <w:sz w:val="28"/>
          <w:szCs w:val="28"/>
        </w:rPr>
        <w:t>революційна,</w:t>
      </w:r>
      <w:r w:rsidRPr="002E5180">
        <w:rPr>
          <w:rFonts w:ascii="Times New Roman" w:hAnsi="Times New Roman" w:cs="Times New Roman"/>
          <w:sz w:val="28"/>
          <w:szCs w:val="28"/>
        </w:rPr>
        <w:t xml:space="preserve"> яка виступала за радикальні зміни у суспільстві шляхом революційного повалення царизму і самодержавства, та </w:t>
      </w:r>
      <w:r w:rsidRPr="00A01A8F">
        <w:rPr>
          <w:rFonts w:ascii="Times New Roman" w:hAnsi="Times New Roman" w:cs="Times New Roman"/>
          <w:i/>
          <w:iCs/>
          <w:sz w:val="28"/>
          <w:szCs w:val="28"/>
        </w:rPr>
        <w:t>ліберальна</w:t>
      </w:r>
      <w:r w:rsidRPr="002E5180">
        <w:rPr>
          <w:rFonts w:ascii="Times New Roman" w:hAnsi="Times New Roman" w:cs="Times New Roman"/>
          <w:sz w:val="28"/>
          <w:szCs w:val="28"/>
        </w:rPr>
        <w:t xml:space="preserve">, представники якої виступали за ліквідацію феодальних залишків шляхом реформ. </w:t>
      </w:r>
    </w:p>
    <w:p w14:paraId="6BD2853B" w14:textId="77777777" w:rsidR="00CA6856"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Необхідність реформ усвідомлювали і урядові кола. Для підготовки реформи 8 січня 1858 р. було створено спеціальну організацію – Головний комітет у селянській справі, який мав координувати роботу губернських дворянських комітетів, збирати пропозиції, подані ними, і на цій основі виробити єдиний проект реформи. У губернських комітетах засідали поміщики, тому більшість проектів зводились до того, що селян потрібно звільнити, але при цьому дати їм якомога менші наділи, причому не відразу і за викуп. Підготовлені проекти були розглянуті Державною радою і 19 лютого 1861 р. цар Олександр ІІ підписав маніфест та Положення про скасування кріпосного права. </w:t>
      </w:r>
    </w:p>
    <w:p w14:paraId="7E5A53E4" w14:textId="77777777" w:rsidR="00CA6856"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Основні принципові положення цього документу передбачали: </w:t>
      </w:r>
    </w:p>
    <w:p w14:paraId="4C43748C" w14:textId="3694D06A" w:rsidR="00CA6856" w:rsidRDefault="00CA6856" w:rsidP="002E518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4A4631" w:rsidRPr="002E5180">
        <w:rPr>
          <w:rFonts w:ascii="Times New Roman" w:hAnsi="Times New Roman" w:cs="Times New Roman"/>
          <w:sz w:val="28"/>
          <w:szCs w:val="28"/>
        </w:rPr>
        <w:t xml:space="preserve">о-перше, ліквідацію особистої залежності селян від поміщиків. Селяни переставали бути власністю поміщиків і переводилися у стан вільних сільських обивателів, могли вільно обирати рід занять, володіти рухомим і нерухомим майном, без втручання поміщиків влаштовувати сімейні справи. Передбачалося також створення органів селянського управління. </w:t>
      </w:r>
    </w:p>
    <w:p w14:paraId="32F91067" w14:textId="77777777" w:rsidR="00CA6856"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По-друге, наділення селян землею і визначення повинностей за неї. Щодо розміру наділу, то він був дещо більшим у регіонах, де земля була менш родючою, у чорноземних районах наділи були мізерними. У степових районах розмір наділу становив 3 – 6,5 десятин на душу, у чорноземних – від 1 – до 4,5 десятин. </w:t>
      </w:r>
    </w:p>
    <w:p w14:paraId="794C7BCA" w14:textId="77777777" w:rsidR="00CA6856"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Загалом після наділення землею селяни отримали землі на 20% менше, ніж було в них у користуванні до реформи, 220 тис. українських селян залишилися без землі , 94% господарств володіли наділами до 5 десятин. Щодо викупу, то він проводився за рахунок селян. Хто не міг викупити наділ, міг взяти державну позику на 49 років під проценти. Особливостями здійснення реформи в Україні було те, що на відміну від Росії, де 95% селян жили общиною і земля передавалася у власність общини, в українських землях більшість землі було передано в індивідуальну власність. Крім того, на Правобережжі селяни мали право отримати той розмір наділу, який визначався інвентарними правилами 1847–1848 рр. </w:t>
      </w:r>
    </w:p>
    <w:p w14:paraId="5DDB3CE9" w14:textId="77777777" w:rsidR="00CA6856"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Таким чином, реформа 1861 р. дала селянам особисту свободу, але у земельному питанні вона здійснювалася за рахунок селян. Переважна їх більшість отримали мізерні наділи, що не дало їм економічної свободи. Проте надання селянам особистої свободи стало важливою передумовою їх господарської активізації, започаткувало формування ринку вільної робочої сили – необхідної передумови розвитку капіталістичної промисловості. </w:t>
      </w:r>
    </w:p>
    <w:p w14:paraId="6701E88C" w14:textId="77777777" w:rsidR="00CA6856" w:rsidRDefault="004A4631" w:rsidP="00CA6856">
      <w:pPr>
        <w:spacing w:after="0"/>
        <w:ind w:firstLine="709"/>
        <w:jc w:val="both"/>
        <w:rPr>
          <w:rFonts w:ascii="Times New Roman" w:hAnsi="Times New Roman" w:cs="Times New Roman"/>
          <w:sz w:val="28"/>
          <w:szCs w:val="28"/>
        </w:rPr>
      </w:pPr>
      <w:r w:rsidRPr="00CA6856">
        <w:rPr>
          <w:rFonts w:ascii="Times New Roman" w:hAnsi="Times New Roman" w:cs="Times New Roman"/>
          <w:b/>
          <w:bCs/>
          <w:i/>
          <w:iCs/>
          <w:sz w:val="28"/>
          <w:szCs w:val="28"/>
        </w:rPr>
        <w:t>Земська реформа</w:t>
      </w:r>
      <w:r w:rsidRPr="002E5180">
        <w:rPr>
          <w:rFonts w:ascii="Times New Roman" w:hAnsi="Times New Roman" w:cs="Times New Roman"/>
          <w:sz w:val="28"/>
          <w:szCs w:val="28"/>
        </w:rPr>
        <w:t xml:space="preserve"> (1864) передбачала створення виборних місцевих органів самоуправління – земств. Губернські і повітові земства мали діяти відповідно до законодавства і до сфери їхньої компетенції належали розгляд господарських справ, нагляд за народною освітою, медичним обслуговуванням, благоустрій на визначених територіях. </w:t>
      </w:r>
    </w:p>
    <w:p w14:paraId="605CC668" w14:textId="77777777" w:rsidR="00CA6856" w:rsidRDefault="004A4631" w:rsidP="00CA6856">
      <w:pPr>
        <w:spacing w:after="0"/>
        <w:ind w:firstLine="709"/>
        <w:jc w:val="both"/>
        <w:rPr>
          <w:rFonts w:ascii="Times New Roman" w:hAnsi="Times New Roman" w:cs="Times New Roman"/>
          <w:sz w:val="28"/>
          <w:szCs w:val="28"/>
        </w:rPr>
      </w:pPr>
      <w:r w:rsidRPr="00CA6856">
        <w:rPr>
          <w:rFonts w:ascii="Times New Roman" w:hAnsi="Times New Roman" w:cs="Times New Roman"/>
          <w:b/>
          <w:bCs/>
          <w:i/>
          <w:iCs/>
          <w:sz w:val="28"/>
          <w:szCs w:val="28"/>
        </w:rPr>
        <w:t>Судова реформа</w:t>
      </w:r>
      <w:r w:rsidRPr="002E5180">
        <w:rPr>
          <w:rFonts w:ascii="Times New Roman" w:hAnsi="Times New Roman" w:cs="Times New Roman"/>
          <w:sz w:val="28"/>
          <w:szCs w:val="28"/>
        </w:rPr>
        <w:t xml:space="preserve"> (1864) запроваджувала у судочинство низку прогресивних принципів: </w:t>
      </w:r>
      <w:proofErr w:type="spellStart"/>
      <w:r w:rsidRPr="002E5180">
        <w:rPr>
          <w:rFonts w:ascii="Times New Roman" w:hAnsi="Times New Roman" w:cs="Times New Roman"/>
          <w:sz w:val="28"/>
          <w:szCs w:val="28"/>
        </w:rPr>
        <w:t>безстановість</w:t>
      </w:r>
      <w:proofErr w:type="spellEnd"/>
      <w:r w:rsidRPr="002E5180">
        <w:rPr>
          <w:rFonts w:ascii="Times New Roman" w:hAnsi="Times New Roman" w:cs="Times New Roman"/>
          <w:sz w:val="28"/>
          <w:szCs w:val="28"/>
        </w:rPr>
        <w:t xml:space="preserve">, незалежність суддів від адміністрації, гласність судового процесу, змагальність сторін. Було також запроваджено інституцію присяжних засідателів у кримінальному судочинстві. </w:t>
      </w:r>
    </w:p>
    <w:p w14:paraId="12EC1567" w14:textId="77777777" w:rsidR="00CA6856" w:rsidRDefault="004A4631" w:rsidP="00CA6856">
      <w:pPr>
        <w:spacing w:after="0"/>
        <w:ind w:firstLine="709"/>
        <w:jc w:val="both"/>
        <w:rPr>
          <w:rFonts w:ascii="Times New Roman" w:hAnsi="Times New Roman" w:cs="Times New Roman"/>
          <w:sz w:val="28"/>
          <w:szCs w:val="28"/>
        </w:rPr>
      </w:pPr>
      <w:r w:rsidRPr="00CA6856">
        <w:rPr>
          <w:rFonts w:ascii="Times New Roman" w:hAnsi="Times New Roman" w:cs="Times New Roman"/>
          <w:b/>
          <w:bCs/>
          <w:i/>
          <w:iCs/>
          <w:sz w:val="28"/>
          <w:szCs w:val="28"/>
        </w:rPr>
        <w:t xml:space="preserve">Шкільна реформа </w:t>
      </w:r>
      <w:r w:rsidRPr="002E5180">
        <w:rPr>
          <w:rFonts w:ascii="Times New Roman" w:hAnsi="Times New Roman" w:cs="Times New Roman"/>
          <w:sz w:val="28"/>
          <w:szCs w:val="28"/>
        </w:rPr>
        <w:t xml:space="preserve">(1864) запроваджувала єдину систему початкової освіти, основу якої складали початкові народні училища – безстанові заклади, які мали працювати за єдиними програмами. У системі середньої освіти основою мали стати реальні та класичні гімназії, які також оголошувалися безстановими. Неповну середню освіту давали прогімназії. Основним типом вищого навчального закладу лишався університет. </w:t>
      </w:r>
    </w:p>
    <w:p w14:paraId="76DA711F" w14:textId="77777777" w:rsidR="00CA6856" w:rsidRDefault="004A4631" w:rsidP="00CA6856">
      <w:pPr>
        <w:spacing w:after="0"/>
        <w:ind w:firstLine="709"/>
        <w:jc w:val="both"/>
        <w:rPr>
          <w:rFonts w:ascii="Times New Roman" w:hAnsi="Times New Roman" w:cs="Times New Roman"/>
          <w:sz w:val="28"/>
          <w:szCs w:val="28"/>
        </w:rPr>
      </w:pPr>
      <w:r w:rsidRPr="00CA6856">
        <w:rPr>
          <w:rFonts w:ascii="Times New Roman" w:hAnsi="Times New Roman" w:cs="Times New Roman"/>
          <w:b/>
          <w:bCs/>
          <w:i/>
          <w:iCs/>
          <w:sz w:val="28"/>
          <w:szCs w:val="28"/>
        </w:rPr>
        <w:t>Військова реформа</w:t>
      </w:r>
      <w:r w:rsidRPr="002E5180">
        <w:rPr>
          <w:rFonts w:ascii="Times New Roman" w:hAnsi="Times New Roman" w:cs="Times New Roman"/>
          <w:sz w:val="28"/>
          <w:szCs w:val="28"/>
        </w:rPr>
        <w:t xml:space="preserve"> розпочалася у 1864 р. і тривала 15 років. За нею відмінялися рекрутські набори і вводилася загальна військова повинність. </w:t>
      </w:r>
      <w:r w:rsidRPr="002E5180">
        <w:rPr>
          <w:rFonts w:ascii="Times New Roman" w:hAnsi="Times New Roman" w:cs="Times New Roman"/>
          <w:sz w:val="28"/>
          <w:szCs w:val="28"/>
        </w:rPr>
        <w:lastRenderedPageBreak/>
        <w:t xml:space="preserve">Термін служби скорочувався до 6 років у сухопутних військах і до 7 років – на флоті. В армії заборонялися тілесні покарання. </w:t>
      </w:r>
    </w:p>
    <w:p w14:paraId="75D2A6F1" w14:textId="77777777" w:rsidR="00CA6856" w:rsidRDefault="004A4631" w:rsidP="00CA6856">
      <w:pPr>
        <w:spacing w:after="0"/>
        <w:ind w:firstLine="709"/>
        <w:jc w:val="both"/>
        <w:rPr>
          <w:rFonts w:ascii="Times New Roman" w:hAnsi="Times New Roman" w:cs="Times New Roman"/>
          <w:sz w:val="28"/>
          <w:szCs w:val="28"/>
        </w:rPr>
      </w:pPr>
      <w:r w:rsidRPr="00CA6856">
        <w:rPr>
          <w:rFonts w:ascii="Times New Roman" w:hAnsi="Times New Roman" w:cs="Times New Roman"/>
          <w:b/>
          <w:bCs/>
          <w:i/>
          <w:iCs/>
          <w:sz w:val="28"/>
          <w:szCs w:val="28"/>
        </w:rPr>
        <w:t>Фінансова реформа</w:t>
      </w:r>
      <w:r w:rsidRPr="002E5180">
        <w:rPr>
          <w:rFonts w:ascii="Times New Roman" w:hAnsi="Times New Roman" w:cs="Times New Roman"/>
          <w:sz w:val="28"/>
          <w:szCs w:val="28"/>
        </w:rPr>
        <w:t xml:space="preserve"> 1862 р. передбачала передачу управління фінансовими справами міністерству фінансів. Було встановлено гласність бюджету, державний розпис видатків і прибутків став публікуватися в пресі.</w:t>
      </w:r>
    </w:p>
    <w:p w14:paraId="254C6A02" w14:textId="77777777" w:rsidR="00CA6856" w:rsidRDefault="004A4631" w:rsidP="00CA6856">
      <w:pPr>
        <w:spacing w:after="0"/>
        <w:ind w:firstLine="709"/>
        <w:jc w:val="both"/>
        <w:rPr>
          <w:rFonts w:ascii="Times New Roman" w:hAnsi="Times New Roman" w:cs="Times New Roman"/>
          <w:sz w:val="28"/>
          <w:szCs w:val="28"/>
        </w:rPr>
      </w:pPr>
      <w:r w:rsidRPr="00CA6856">
        <w:rPr>
          <w:rFonts w:ascii="Times New Roman" w:hAnsi="Times New Roman" w:cs="Times New Roman"/>
          <w:b/>
          <w:bCs/>
          <w:i/>
          <w:iCs/>
          <w:sz w:val="28"/>
          <w:szCs w:val="28"/>
        </w:rPr>
        <w:t>Реформа міського самоуправління</w:t>
      </w:r>
      <w:r w:rsidRPr="002E5180">
        <w:rPr>
          <w:rFonts w:ascii="Times New Roman" w:hAnsi="Times New Roman" w:cs="Times New Roman"/>
          <w:sz w:val="28"/>
          <w:szCs w:val="28"/>
        </w:rPr>
        <w:t xml:space="preserve"> 1870 р. передбачала запровадження у містах безстанових органів міського управління – міських дум, які обиралися на  4 роки, і участь у виборах мали брати платники податків віком від 25 років. Відповідно до суми податків вибори проводилися по трьох куріях. Міські думи, як і земства, відали в основному господарськими справами, опікали комунальну та соціальну сфери. </w:t>
      </w:r>
    </w:p>
    <w:p w14:paraId="2670922B" w14:textId="77777777" w:rsidR="00CA6856"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Реформи 60 – 70-х рр., незважаючи на те, що не вирішували всіх проблем в економічній, правовій, військовій, адміністративній та соціальній сферах не мали системного характеру, в цілому започаткували прогресивні зміни у суспільстві, сприяли розвитку більш прогресивних, порівняно з феодальними, капіталістичних відносин. </w:t>
      </w:r>
    </w:p>
    <w:p w14:paraId="2DD9B0CE" w14:textId="77777777" w:rsidR="00B45BB8" w:rsidRDefault="004A4631" w:rsidP="00CA6856">
      <w:pPr>
        <w:spacing w:after="0"/>
        <w:ind w:firstLine="709"/>
        <w:jc w:val="both"/>
        <w:rPr>
          <w:rFonts w:ascii="Times New Roman" w:hAnsi="Times New Roman" w:cs="Times New Roman"/>
          <w:sz w:val="28"/>
          <w:szCs w:val="28"/>
        </w:rPr>
      </w:pPr>
      <w:r w:rsidRPr="0079360E">
        <w:rPr>
          <w:rFonts w:ascii="Times New Roman" w:hAnsi="Times New Roman" w:cs="Times New Roman"/>
          <w:b/>
          <w:bCs/>
          <w:i/>
          <w:iCs/>
          <w:sz w:val="28"/>
          <w:szCs w:val="28"/>
        </w:rPr>
        <w:t>Економічний розвиток українських земель у другій половині ХІХ ст</w:t>
      </w:r>
      <w:r w:rsidRPr="002E5180">
        <w:rPr>
          <w:rFonts w:ascii="Times New Roman" w:hAnsi="Times New Roman" w:cs="Times New Roman"/>
          <w:sz w:val="28"/>
          <w:szCs w:val="28"/>
        </w:rPr>
        <w:t xml:space="preserve">. Економічна політика російського царизму в Наддніпрянській Україні була спрямована на утвердження капіталістичного устрою в економіці, мала на меті підпорядкувати народногосподарський комплекс України імперським економічним інтересам. </w:t>
      </w:r>
    </w:p>
    <w:p w14:paraId="7D453140" w14:textId="77777777" w:rsidR="00B45BB8"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Для успішного економічного розвитку царський уряд реорганізував фінансово-кредитну систему, створив у Наддніпрянщині мережу державних та комерційних банків, які фінансували промисловість і торгівлю. Для урядової економічної політики був характерний </w:t>
      </w:r>
      <w:r w:rsidRPr="0079360E">
        <w:rPr>
          <w:rFonts w:ascii="Times New Roman" w:hAnsi="Times New Roman" w:cs="Times New Roman"/>
          <w:i/>
          <w:iCs/>
          <w:sz w:val="28"/>
          <w:szCs w:val="28"/>
        </w:rPr>
        <w:t xml:space="preserve">протекціонізм </w:t>
      </w:r>
      <w:r w:rsidRPr="002E5180">
        <w:rPr>
          <w:rFonts w:ascii="Times New Roman" w:hAnsi="Times New Roman" w:cs="Times New Roman"/>
          <w:sz w:val="28"/>
          <w:szCs w:val="28"/>
        </w:rPr>
        <w:t xml:space="preserve">– підтримка галузей, що мали важливе загальноросійське значення (металургія, машинобудування), запровадження практики державних замовлень за підвищеними цінами на виробництво металу, паровозів, вагонів тощо. Крім того в Наддніпрянщину царським урядом спрямовувався приплив іноземного капіталу з Бельгії, Франції, Англії та Німеччини. </w:t>
      </w:r>
    </w:p>
    <w:p w14:paraId="4BB0AE4D" w14:textId="77777777" w:rsidR="00B45BB8"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Українська промисловість в цілому розвивалася швидше порівняно із загальноімперськими темпами. Загалом для другої половини ХІХ ст. характерні значні кількісні зміни у промисловості. Так, загальна кількість підприємств збільшилась із 2147 у 1860 р. до 30 310 у 1895 р., а кількість робітників – відповідно із 86 тис. до 205 тис. Якісні зміни були значною мірою зумовлені результатами промислового перевороту, який завершився у 60–80-х рр. ХІХ ст. </w:t>
      </w:r>
      <w:r w:rsidRPr="00B45BB8">
        <w:rPr>
          <w:rFonts w:ascii="Times New Roman" w:hAnsi="Times New Roman" w:cs="Times New Roman"/>
          <w:i/>
          <w:iCs/>
          <w:sz w:val="28"/>
          <w:szCs w:val="28"/>
        </w:rPr>
        <w:t>Характерною його особливістю є те, що у цей період він охопив переважно галузі важкої індустрії</w:t>
      </w:r>
      <w:r w:rsidRPr="002E5180">
        <w:rPr>
          <w:rFonts w:ascii="Times New Roman" w:hAnsi="Times New Roman" w:cs="Times New Roman"/>
          <w:sz w:val="28"/>
          <w:szCs w:val="28"/>
        </w:rPr>
        <w:t xml:space="preserve"> – залізорудну, вугільну, металургійну та машинобудівну. </w:t>
      </w:r>
    </w:p>
    <w:p w14:paraId="3FB24BB6" w14:textId="77777777" w:rsidR="00B45BB8"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Модернізація української промисловості збільшила її частину у загальному виробництві європейської частини Російської імперії з 9,4% у 1854 р. до 21% у 1900 р.</w:t>
      </w:r>
    </w:p>
    <w:p w14:paraId="6DF9D5D1" w14:textId="77777777" w:rsidR="00B45BB8"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Розвиток економіки на капіталістичних засадах дав поштовх </w:t>
      </w:r>
      <w:r w:rsidRPr="00B45BB8">
        <w:rPr>
          <w:rFonts w:ascii="Times New Roman" w:hAnsi="Times New Roman" w:cs="Times New Roman"/>
          <w:i/>
          <w:iCs/>
          <w:sz w:val="28"/>
          <w:szCs w:val="28"/>
        </w:rPr>
        <w:t>урбанізаційним процесам</w:t>
      </w:r>
      <w:r w:rsidRPr="002E5180">
        <w:rPr>
          <w:rFonts w:ascii="Times New Roman" w:hAnsi="Times New Roman" w:cs="Times New Roman"/>
          <w:sz w:val="28"/>
          <w:szCs w:val="28"/>
        </w:rPr>
        <w:t xml:space="preserve">. З 1863 р. по 1897 р. кількість міського населення </w:t>
      </w:r>
      <w:r w:rsidRPr="002E5180">
        <w:rPr>
          <w:rFonts w:ascii="Times New Roman" w:hAnsi="Times New Roman" w:cs="Times New Roman"/>
          <w:sz w:val="28"/>
          <w:szCs w:val="28"/>
        </w:rPr>
        <w:lastRenderedPageBreak/>
        <w:t xml:space="preserve">зросла на 97%. На цей час в Україні офіційно налічувалося 130 міст. За кількістю населення найбільшими були Одеса (понад 400 тис.), Київ (247 тис.), Харків (174 тис.). У 80 – 90-х рр. ХІХ ст. покращується благоустрій міст, з’являються міські електростанції, водогін, а у 1892 р. в Києві вперше у Російській імперії пішов трамвай. </w:t>
      </w:r>
    </w:p>
    <w:p w14:paraId="41962F35" w14:textId="77777777" w:rsidR="00B45BB8"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У</w:t>
      </w:r>
      <w:r w:rsidRPr="00B45BB8">
        <w:rPr>
          <w:rFonts w:ascii="Times New Roman" w:hAnsi="Times New Roman" w:cs="Times New Roman"/>
          <w:i/>
          <w:iCs/>
          <w:sz w:val="28"/>
          <w:szCs w:val="28"/>
        </w:rPr>
        <w:t xml:space="preserve"> торгівлі</w:t>
      </w:r>
      <w:r w:rsidRPr="002E5180">
        <w:rPr>
          <w:rFonts w:ascii="Times New Roman" w:hAnsi="Times New Roman" w:cs="Times New Roman"/>
          <w:sz w:val="28"/>
          <w:szCs w:val="28"/>
        </w:rPr>
        <w:t xml:space="preserve"> спостерігається розширення внутрішнього ринку, збільшується частка України у загальноросійському зовнішньоторговельному обороті. Зростає кількість торговельних центрів – базарів і ярмарок, формується міська торговельна мережа (магазини, палатки, </w:t>
      </w:r>
      <w:proofErr w:type="spellStart"/>
      <w:r w:rsidRPr="002E5180">
        <w:rPr>
          <w:rFonts w:ascii="Times New Roman" w:hAnsi="Times New Roman" w:cs="Times New Roman"/>
          <w:sz w:val="28"/>
          <w:szCs w:val="28"/>
        </w:rPr>
        <w:t>ларки</w:t>
      </w:r>
      <w:proofErr w:type="spellEnd"/>
      <w:r w:rsidRPr="002E5180">
        <w:rPr>
          <w:rFonts w:ascii="Times New Roman" w:hAnsi="Times New Roman" w:cs="Times New Roman"/>
          <w:sz w:val="28"/>
          <w:szCs w:val="28"/>
        </w:rPr>
        <w:t xml:space="preserve">). У 1894 р. в Україні відбулося 4 тис. ярмарків, приблизно чверть загальноросійських. Розвитку внутрішньої та зовнішньої торгівлі сприяв активний розвиток транспорту, особливо залізничного. У 1865 р. стала до ладу перша залізниця Одеса – Балта. До 1900 р. довжина залізниць в Україні зросла від 219 до 8417 км. Розвивається річковий і морський транспорт. До початку 90-х рр. ХІХ ст. по річках Наддніпрянщини плавало 220 пароплавів, а до портів Чорного та Азовського морів було приписано 280 суден. </w:t>
      </w:r>
    </w:p>
    <w:p w14:paraId="77648E0A" w14:textId="77777777" w:rsidR="00036E9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 </w:t>
      </w:r>
      <w:r w:rsidRPr="00B45BB8">
        <w:rPr>
          <w:rFonts w:ascii="Times New Roman" w:hAnsi="Times New Roman" w:cs="Times New Roman"/>
          <w:i/>
          <w:iCs/>
          <w:sz w:val="28"/>
          <w:szCs w:val="28"/>
        </w:rPr>
        <w:t>сільському господарстві</w:t>
      </w:r>
      <w:r w:rsidRPr="002E5180">
        <w:rPr>
          <w:rFonts w:ascii="Times New Roman" w:hAnsi="Times New Roman" w:cs="Times New Roman"/>
          <w:sz w:val="28"/>
          <w:szCs w:val="28"/>
        </w:rPr>
        <w:t xml:space="preserve"> також розвиваються капіталістичні відносини. Ознаками цього були зміни у землеволодінні та землекористуванні, зумовлені перетворенням землі на товар, використанням вільнонайманої праці, застосуванням техніки у землеробстві, утвердженням товарного характеру сільськогосподарського виробництва. Усе це привело до збільшення посівних площ, покращення структури посівів, зростання виробництва і реалізації сільгосппродукції. Україна стала важливим центром сільськогосподарського виробництва Російської імперії. </w:t>
      </w:r>
    </w:p>
    <w:p w14:paraId="7F688EB3" w14:textId="77777777" w:rsidR="00036E9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Так, частка України у загальноросійському експорті зерна становила 90%. В Україні збирали 43 % світового врожаю ячменю і 20% пшениці. Помітною стала сільськогосподарська спеціалізація регіонів. Так, у південних степових регіонах України поширеним було зерновиробництво, на Правобережжі, Харківщині та Чернігівщині значні площі відводились під цукрові буряки, у Полтавській і Чернігівській губерніях були зосереджені основні посіви тютюну, конопель. На кінець ХІХ ст. в Україні у 4 рази збільшилися посіви цукрових буряків і досягли 350 тис. га – 75% посівів по всій Росії. </w:t>
      </w:r>
    </w:p>
    <w:p w14:paraId="469F25E2" w14:textId="1443F2A0" w:rsidR="00036E9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Піднесення ефективності сільськогосподарського виробництва було зумовлене також і за рахунок </w:t>
      </w:r>
      <w:proofErr w:type="spellStart"/>
      <w:r w:rsidRPr="002E5180">
        <w:rPr>
          <w:rFonts w:ascii="Times New Roman" w:hAnsi="Times New Roman" w:cs="Times New Roman"/>
          <w:sz w:val="28"/>
          <w:szCs w:val="28"/>
        </w:rPr>
        <w:t>вільнайманої</w:t>
      </w:r>
      <w:proofErr w:type="spellEnd"/>
      <w:r w:rsidRPr="002E5180">
        <w:rPr>
          <w:rFonts w:ascii="Times New Roman" w:hAnsi="Times New Roman" w:cs="Times New Roman"/>
          <w:sz w:val="28"/>
          <w:szCs w:val="28"/>
        </w:rPr>
        <w:t xml:space="preserve"> праці. Так на 1900 р. у землеробстві в Україні було зайнято близько 1 млн постійних робітників і 200 тис. поденних батраків. Найбільше сільськогосподарських робітників було зосереджено на Півдні та у тих районах, де переважав американський, або фермерський шлях розвитку капіталізму на селі. Аграрна реформа 1861 р. і становлення сільського господарства на шлях капіталістичного розвитку привели до певних змін соціальної структури села. Дедалі чіткіше став виявлятись процес поділу селянства на дві протилежні групи – сільську буржуазію, з одного боку, і сільських найманих робітників (наймитів, батраків, поденщиків і </w:t>
      </w:r>
      <w:proofErr w:type="spellStart"/>
      <w:r w:rsidRPr="002E5180">
        <w:rPr>
          <w:rFonts w:ascii="Times New Roman" w:hAnsi="Times New Roman" w:cs="Times New Roman"/>
          <w:sz w:val="28"/>
          <w:szCs w:val="28"/>
        </w:rPr>
        <w:t>т.п</w:t>
      </w:r>
      <w:proofErr w:type="spellEnd"/>
      <w:r w:rsidRPr="002E5180">
        <w:rPr>
          <w:rFonts w:ascii="Times New Roman" w:hAnsi="Times New Roman" w:cs="Times New Roman"/>
          <w:sz w:val="28"/>
          <w:szCs w:val="28"/>
        </w:rPr>
        <w:t xml:space="preserve">.), – з іншого.. Разом з тим утворився прошарок самодостатніх середняцьких </w:t>
      </w:r>
      <w:r w:rsidRPr="002E5180">
        <w:rPr>
          <w:rFonts w:ascii="Times New Roman" w:hAnsi="Times New Roman" w:cs="Times New Roman"/>
          <w:sz w:val="28"/>
          <w:szCs w:val="28"/>
        </w:rPr>
        <w:lastRenderedPageBreak/>
        <w:t xml:space="preserve">господарств. Загалом на кінець ХІХ ст. в Україні бідне селянство становило 60%, середняки – 25%, багатії – 15%. </w:t>
      </w:r>
    </w:p>
    <w:p w14:paraId="0DBF9D00" w14:textId="77777777" w:rsidR="004B4D3C" w:rsidRDefault="004B4D3C" w:rsidP="00CA6856">
      <w:pPr>
        <w:spacing w:after="0"/>
        <w:ind w:firstLine="709"/>
        <w:jc w:val="both"/>
        <w:rPr>
          <w:rFonts w:ascii="Times New Roman" w:hAnsi="Times New Roman" w:cs="Times New Roman"/>
          <w:sz w:val="28"/>
          <w:szCs w:val="28"/>
        </w:rPr>
      </w:pPr>
    </w:p>
    <w:p w14:paraId="043E77D4" w14:textId="4B0A7985" w:rsidR="004B4D3C" w:rsidRPr="004B4D3C" w:rsidRDefault="004B4D3C" w:rsidP="004B4D3C">
      <w:pPr>
        <w:pStyle w:val="a4"/>
        <w:numPr>
          <w:ilvl w:val="0"/>
          <w:numId w:val="2"/>
        </w:numPr>
        <w:spacing w:after="0" w:line="240" w:lineRule="auto"/>
        <w:rPr>
          <w:b/>
          <w:bCs/>
          <w:sz w:val="28"/>
          <w:szCs w:val="28"/>
        </w:rPr>
      </w:pPr>
      <w:r w:rsidRPr="004B4D3C">
        <w:rPr>
          <w:b/>
          <w:bCs/>
          <w:sz w:val="28"/>
          <w:szCs w:val="28"/>
        </w:rPr>
        <w:t>Західноукраїнські землі у другій половині ХІХ ст.</w:t>
      </w:r>
    </w:p>
    <w:p w14:paraId="4C434CDF" w14:textId="77777777" w:rsidR="0008161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Що стосується західноукраїнських земель, то революція 1848–1849 рр. в Австрії також </w:t>
      </w:r>
      <w:r w:rsidRPr="00081612">
        <w:rPr>
          <w:rFonts w:ascii="Times New Roman" w:hAnsi="Times New Roman" w:cs="Times New Roman"/>
          <w:i/>
          <w:iCs/>
          <w:sz w:val="28"/>
          <w:szCs w:val="28"/>
        </w:rPr>
        <w:t>започаткувала ліквідацію феодально-кріпосницьких і зародження капіталістичних відносин.</w:t>
      </w:r>
      <w:r w:rsidRPr="002E5180">
        <w:rPr>
          <w:rFonts w:ascii="Times New Roman" w:hAnsi="Times New Roman" w:cs="Times New Roman"/>
          <w:sz w:val="28"/>
          <w:szCs w:val="28"/>
        </w:rPr>
        <w:t xml:space="preserve"> В </w:t>
      </w:r>
      <w:r w:rsidRPr="00081612">
        <w:rPr>
          <w:rFonts w:ascii="Times New Roman" w:hAnsi="Times New Roman" w:cs="Times New Roman"/>
          <w:i/>
          <w:iCs/>
          <w:sz w:val="28"/>
          <w:szCs w:val="28"/>
        </w:rPr>
        <w:t>економіці</w:t>
      </w:r>
      <w:r w:rsidRPr="002E5180">
        <w:rPr>
          <w:rFonts w:ascii="Times New Roman" w:hAnsi="Times New Roman" w:cs="Times New Roman"/>
          <w:sz w:val="28"/>
          <w:szCs w:val="28"/>
        </w:rPr>
        <w:t xml:space="preserve"> переважав аграрний сектор. </w:t>
      </w:r>
      <w:r w:rsidRPr="00081612">
        <w:rPr>
          <w:rFonts w:ascii="Times New Roman" w:hAnsi="Times New Roman" w:cs="Times New Roman"/>
          <w:i/>
          <w:iCs/>
          <w:sz w:val="28"/>
          <w:szCs w:val="28"/>
        </w:rPr>
        <w:t>Промисловість</w:t>
      </w:r>
      <w:r w:rsidRPr="002E5180">
        <w:rPr>
          <w:rFonts w:ascii="Times New Roman" w:hAnsi="Times New Roman" w:cs="Times New Roman"/>
          <w:sz w:val="28"/>
          <w:szCs w:val="28"/>
        </w:rPr>
        <w:t xml:space="preserve"> мала переважно дрібний, кустарно-ремісничий характер. Великих капіталістичних підприємств на західноукраїнських землях було близько 220. </w:t>
      </w:r>
    </w:p>
    <w:p w14:paraId="1C4365AA" w14:textId="77777777" w:rsidR="0008161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Найрозвиненішими були нафтова й озокеритна промисловість у Бориславо-Дрогобицькому басейні, деревообробна – на Закарпатті, переробна – на Буковині. Характерною особливістю промислового розвитку регіону було те, що він відбувався за рахунок іноземного капіталу (австрійського, німецького, французького, американського), хоча на кінець ХІХ ст. виникають українські фінансові і торгово-промислові об’єднання “Дністер”, “</w:t>
      </w:r>
      <w:proofErr w:type="spellStart"/>
      <w:r w:rsidRPr="002E5180">
        <w:rPr>
          <w:rFonts w:ascii="Times New Roman" w:hAnsi="Times New Roman" w:cs="Times New Roman"/>
          <w:sz w:val="28"/>
          <w:szCs w:val="28"/>
        </w:rPr>
        <w:t>Карпатія</w:t>
      </w:r>
      <w:proofErr w:type="spellEnd"/>
      <w:r w:rsidRPr="002E5180">
        <w:rPr>
          <w:rFonts w:ascii="Times New Roman" w:hAnsi="Times New Roman" w:cs="Times New Roman"/>
          <w:sz w:val="28"/>
          <w:szCs w:val="28"/>
        </w:rPr>
        <w:t xml:space="preserve">” та ін. Найбільшими промисловими містами були Львів, Борислав, Ужгород, Хуст. На  початку 70-х рр. західноукраїнські землі отримали залізничне сполучення із Заходом, що пожвавило господарсько-економічне життя. </w:t>
      </w:r>
    </w:p>
    <w:p w14:paraId="58721629" w14:textId="77777777" w:rsidR="0008161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 </w:t>
      </w:r>
      <w:r w:rsidRPr="00081612">
        <w:rPr>
          <w:rFonts w:ascii="Times New Roman" w:hAnsi="Times New Roman" w:cs="Times New Roman"/>
          <w:i/>
          <w:iCs/>
          <w:sz w:val="28"/>
          <w:szCs w:val="28"/>
        </w:rPr>
        <w:t>сільському господарстві</w:t>
      </w:r>
      <w:r w:rsidRPr="002E5180">
        <w:rPr>
          <w:rFonts w:ascii="Times New Roman" w:hAnsi="Times New Roman" w:cs="Times New Roman"/>
          <w:sz w:val="28"/>
          <w:szCs w:val="28"/>
        </w:rPr>
        <w:t xml:space="preserve"> після аграрної реформи 1848 р. селян хоча і було наділено землею, проте наділи були мізерними, що не позбавило бідніше селянство економічної залежності від поміщиків. У процесі реформи відбулося здрібнення селянських господарств (кількість господарств до 5 га зросла в 1,5 раз). На </w:t>
      </w:r>
      <w:proofErr w:type="spellStart"/>
      <w:r w:rsidRPr="002E5180">
        <w:rPr>
          <w:rFonts w:ascii="Times New Roman" w:hAnsi="Times New Roman" w:cs="Times New Roman"/>
          <w:sz w:val="28"/>
          <w:szCs w:val="28"/>
        </w:rPr>
        <w:t>рубежі</w:t>
      </w:r>
      <w:proofErr w:type="spellEnd"/>
      <w:r w:rsidRPr="002E5180">
        <w:rPr>
          <w:rFonts w:ascii="Times New Roman" w:hAnsi="Times New Roman" w:cs="Times New Roman"/>
          <w:sz w:val="28"/>
          <w:szCs w:val="28"/>
        </w:rPr>
        <w:t xml:space="preserve"> ХХ ст. близько 25% сільського населення було безземельним, 80% господарств становили бідняцькі, 15% - середняцькі і лише 5% - заможні. Але перехід сільського господарства на капіталістичні засади в цілому позитивно вплинув на його ефективність. </w:t>
      </w:r>
    </w:p>
    <w:p w14:paraId="5B940770" w14:textId="77777777" w:rsidR="0008161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Протягом другої половини ХІХ ст. рільнича продукція Галичини, Буковини і Закарпаття збільшилася в 1,5 разу. Не маючи підтримки з боку держави українське населення західноукраїнських земель змушене було вдатися до організації самодопомоги. Одним із дієвих засобів у цій справі стала </w:t>
      </w:r>
      <w:r w:rsidRPr="00081612">
        <w:rPr>
          <w:rFonts w:ascii="Times New Roman" w:hAnsi="Times New Roman" w:cs="Times New Roman"/>
          <w:i/>
          <w:iCs/>
          <w:sz w:val="28"/>
          <w:szCs w:val="28"/>
        </w:rPr>
        <w:t>кооперація</w:t>
      </w:r>
      <w:r w:rsidRPr="002E5180">
        <w:rPr>
          <w:rFonts w:ascii="Times New Roman" w:hAnsi="Times New Roman" w:cs="Times New Roman"/>
          <w:sz w:val="28"/>
          <w:szCs w:val="28"/>
        </w:rPr>
        <w:t xml:space="preserve">. Українські кооперативи у регіоні почали виникати у 70-х рр. ХІХ ст. (1873 р. – кооператив “Віра” у Тисмениці Тлумацького повіту). У 1883 р. у Львові було організоване кооперативне підприємство “Народна торгівля”. За характером ці кооперативи були </w:t>
      </w:r>
      <w:r w:rsidRPr="00081612">
        <w:rPr>
          <w:rFonts w:ascii="Times New Roman" w:hAnsi="Times New Roman" w:cs="Times New Roman"/>
          <w:i/>
          <w:iCs/>
          <w:sz w:val="28"/>
          <w:szCs w:val="28"/>
        </w:rPr>
        <w:t>кредитними та споживчими.</w:t>
      </w:r>
      <w:r w:rsidRPr="002E5180">
        <w:rPr>
          <w:rFonts w:ascii="Times New Roman" w:hAnsi="Times New Roman" w:cs="Times New Roman"/>
          <w:sz w:val="28"/>
          <w:szCs w:val="28"/>
        </w:rPr>
        <w:t xml:space="preserve"> Проте до кінця ХІХ ст. цей рух перебував у зародковому стані: мережа кооперативів була нечисленною, не було створено необхідних організаційних структур.</w:t>
      </w:r>
    </w:p>
    <w:p w14:paraId="3C5AE7B4" w14:textId="77777777" w:rsidR="00081612"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Земельний дефіцит, низькі заробітки та безробіття спонукали західноукраїнських селян до пошуку кращої долі за кордоном. Починаючи із 1890 р. розпочинається еміграція до Канади, США, Аргентини. Наприкінці ХІХ ст. зі Східної Галичини та Північної Буковини емігрувало 250 тис. осіб, із Закарпаття – 170 тис. На </w:t>
      </w:r>
      <w:proofErr w:type="spellStart"/>
      <w:r w:rsidRPr="002E5180">
        <w:rPr>
          <w:rFonts w:ascii="Times New Roman" w:hAnsi="Times New Roman" w:cs="Times New Roman"/>
          <w:sz w:val="28"/>
          <w:szCs w:val="28"/>
        </w:rPr>
        <w:t>рубежі</w:t>
      </w:r>
      <w:proofErr w:type="spellEnd"/>
      <w:r w:rsidRPr="002E5180">
        <w:rPr>
          <w:rFonts w:ascii="Times New Roman" w:hAnsi="Times New Roman" w:cs="Times New Roman"/>
          <w:sz w:val="28"/>
          <w:szCs w:val="28"/>
        </w:rPr>
        <w:t xml:space="preserve"> ХХ ст. цей процес мав тенденцію до зростання.</w:t>
      </w:r>
    </w:p>
    <w:p w14:paraId="2C4C1E3C" w14:textId="7F30B23E" w:rsidR="00EF10A3"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lastRenderedPageBreak/>
        <w:t xml:space="preserve">Такими були основні тенденції соціально-економічного розвитку західноукраїнських земель у другій половині ХІХ ст. Вони були зумовлені колоніальним становищем реґіону у складі Австро-Угорської імперії та процесами, спричиненими руйнуванням старих феодально-кріпосницьких відносин і зародженням та розвитком капіталізму. </w:t>
      </w:r>
    </w:p>
    <w:p w14:paraId="0A32FB8C" w14:textId="77777777" w:rsidR="00EF10A3" w:rsidRPr="00EF10A3" w:rsidRDefault="00EF10A3" w:rsidP="00CA6856">
      <w:pPr>
        <w:spacing w:after="0"/>
        <w:ind w:firstLine="709"/>
        <w:jc w:val="both"/>
        <w:rPr>
          <w:rFonts w:ascii="Times New Roman" w:hAnsi="Times New Roman" w:cs="Times New Roman"/>
          <w:b/>
          <w:bCs/>
          <w:sz w:val="28"/>
          <w:szCs w:val="28"/>
        </w:rPr>
      </w:pPr>
    </w:p>
    <w:p w14:paraId="342AE1DB" w14:textId="6E6B301D" w:rsidR="00EF10A3" w:rsidRDefault="00EF10A3" w:rsidP="00EF10A3">
      <w:pPr>
        <w:pStyle w:val="a4"/>
        <w:spacing w:after="0" w:line="240" w:lineRule="auto"/>
        <w:ind w:left="107" w:firstLine="601"/>
        <w:rPr>
          <w:sz w:val="28"/>
          <w:szCs w:val="28"/>
        </w:rPr>
      </w:pPr>
      <w:r w:rsidRPr="00EF10A3">
        <w:rPr>
          <w:b/>
          <w:bCs/>
          <w:sz w:val="28"/>
          <w:szCs w:val="28"/>
        </w:rPr>
        <w:t>3.</w:t>
      </w:r>
      <w:r w:rsidRPr="00EF10A3">
        <w:rPr>
          <w:b/>
          <w:bCs/>
          <w:sz w:val="28"/>
          <w:szCs w:val="28"/>
        </w:rPr>
        <w:tab/>
        <w:t>Суспільно-політичні рухи в України.</w:t>
      </w:r>
    </w:p>
    <w:p w14:paraId="583A6C83" w14:textId="2424D5CD" w:rsidR="00A45114" w:rsidRPr="002E5180" w:rsidRDefault="004A4631" w:rsidP="00CA6856">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Соціально-економічна і національна політика російського царизму щодо України мала колоніальний характер і була спрямована на боротьбу із найменшими національними виявами у політичній, духовній, економічній сферах. Царський уряд усіма засобами намагався заперечити самобутність українського народу, його право на вільний національний розвиток. Ставлення правлячих кіл Російської імперії до українського населення найвиразніше відбилося у двох офіційних документах – Валуєвському циркулярі й Емському акті. </w:t>
      </w:r>
    </w:p>
    <w:p w14:paraId="28B7257B" w14:textId="77777777" w:rsidR="00EF10A3"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Так </w:t>
      </w:r>
      <w:proofErr w:type="spellStart"/>
      <w:r w:rsidRPr="00EF10A3">
        <w:rPr>
          <w:rFonts w:ascii="Times New Roman" w:hAnsi="Times New Roman" w:cs="Times New Roman"/>
          <w:i/>
          <w:iCs/>
          <w:sz w:val="28"/>
          <w:szCs w:val="28"/>
        </w:rPr>
        <w:t>Валуївський</w:t>
      </w:r>
      <w:proofErr w:type="spellEnd"/>
      <w:r w:rsidRPr="00EF10A3">
        <w:rPr>
          <w:rFonts w:ascii="Times New Roman" w:hAnsi="Times New Roman" w:cs="Times New Roman"/>
          <w:i/>
          <w:iCs/>
          <w:sz w:val="28"/>
          <w:szCs w:val="28"/>
        </w:rPr>
        <w:t xml:space="preserve"> циркуляр</w:t>
      </w:r>
      <w:r w:rsidRPr="002E5180">
        <w:rPr>
          <w:rFonts w:ascii="Times New Roman" w:hAnsi="Times New Roman" w:cs="Times New Roman"/>
          <w:sz w:val="28"/>
          <w:szCs w:val="28"/>
        </w:rPr>
        <w:t xml:space="preserve"> 1863 р. заперечував факт існування української мови і забороняв друкування цією мовою книг, а </w:t>
      </w:r>
      <w:r w:rsidRPr="00EF10A3">
        <w:rPr>
          <w:rFonts w:ascii="Times New Roman" w:hAnsi="Times New Roman" w:cs="Times New Roman"/>
          <w:i/>
          <w:iCs/>
          <w:sz w:val="28"/>
          <w:szCs w:val="28"/>
        </w:rPr>
        <w:t xml:space="preserve">Емський акт </w:t>
      </w:r>
      <w:r w:rsidRPr="002E5180">
        <w:rPr>
          <w:rFonts w:ascii="Times New Roman" w:hAnsi="Times New Roman" w:cs="Times New Roman"/>
          <w:sz w:val="28"/>
          <w:szCs w:val="28"/>
        </w:rPr>
        <w:t xml:space="preserve">1876 р. пішов ще далі – забороняв не лише друкування українською мовою оригінальної та перекладеної літератури (навіть тексти пісень), а й завозити до Російської імперії українські книги, видані за кордоном. Заборонялося також влаштовувати концерти українських пісень, ставити п’єси українською мовою. </w:t>
      </w:r>
    </w:p>
    <w:p w14:paraId="5F3D6A09" w14:textId="77777777" w:rsidR="00EF10A3"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З одного боку, гноблення українців, а з іншого – піднесення національної свідомості, спричинене процесами національного відродження у першій половині ХІХ ст., зумовили активізацію національного руху. Однією з його течій був </w:t>
      </w:r>
      <w:proofErr w:type="spellStart"/>
      <w:r w:rsidRPr="002E5180">
        <w:rPr>
          <w:rFonts w:ascii="Times New Roman" w:hAnsi="Times New Roman" w:cs="Times New Roman"/>
          <w:sz w:val="28"/>
          <w:szCs w:val="28"/>
        </w:rPr>
        <w:t>громадівський</w:t>
      </w:r>
      <w:proofErr w:type="spellEnd"/>
      <w:r w:rsidRPr="002E5180">
        <w:rPr>
          <w:rFonts w:ascii="Times New Roman" w:hAnsi="Times New Roman" w:cs="Times New Roman"/>
          <w:sz w:val="28"/>
          <w:szCs w:val="28"/>
        </w:rPr>
        <w:t xml:space="preserve"> рух (від назви гуртків – “громад”, до яких входили переважно представники інтелігенції). </w:t>
      </w:r>
    </w:p>
    <w:p w14:paraId="43AF7205" w14:textId="77777777" w:rsidR="00EF10A3"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Перша громада виникла в Києві у 1859 р. До неї увійшли В.</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Антонович, М.</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Драгоманов, П.</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Чубинський, Т</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.Рильський та інші. Згодом громади утворилися у Харкові, Полтаві, Чернігові та інших містах. Члени громад вважали своїм обов’язком проведення культурно-просвітницької роботи серед населення, відкриття недільних шкіл, видання підручників тощо. Через те, що громадівці працювали з широкими верствами населення, особливо у селянському середовищі, польські реакційні елементи називали їх </w:t>
      </w:r>
      <w:proofErr w:type="spellStart"/>
      <w:r w:rsidRPr="002E5180">
        <w:rPr>
          <w:rFonts w:ascii="Times New Roman" w:hAnsi="Times New Roman" w:cs="Times New Roman"/>
          <w:sz w:val="28"/>
          <w:szCs w:val="28"/>
        </w:rPr>
        <w:t>хлопоманами</w:t>
      </w:r>
      <w:proofErr w:type="spellEnd"/>
      <w:r w:rsidRPr="002E5180">
        <w:rPr>
          <w:rFonts w:ascii="Times New Roman" w:hAnsi="Times New Roman" w:cs="Times New Roman"/>
          <w:sz w:val="28"/>
          <w:szCs w:val="28"/>
        </w:rPr>
        <w:t>. Самі себе громадівці іменували українофілами. Ідеологом цієї течії був В.</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Антонович, який основні засади хлопоманства виклав у статті “Погляди українофілів”. </w:t>
      </w:r>
    </w:p>
    <w:p w14:paraId="2C66C4D6" w14:textId="77777777" w:rsidR="00EF10A3"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 середині 70-х рр. у середовищі ліберально настроєних громадівців починають виникати більш радикальні гуртки, які почали називатися молодими громадами (Київ, Харків, Полтава). Учасники цих гуртків не обмежувалися культурницькою діяльністю, а вважали за необхідне вести революційну діяльність, і більшість із них переходили в народницький рух. </w:t>
      </w:r>
    </w:p>
    <w:p w14:paraId="1A2DE629" w14:textId="77777777" w:rsidR="00EF10A3"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На початку 60-х рр. ХІХ ст. піднесення революційно-демократичного руху посилило визвольний рух інших поневолених російською імперією народів, зокрема поляків. Він був спрямований на визволення поляків з під влади царизму </w:t>
      </w:r>
      <w:r w:rsidRPr="002E5180">
        <w:rPr>
          <w:rFonts w:ascii="Times New Roman" w:hAnsi="Times New Roman" w:cs="Times New Roman"/>
          <w:sz w:val="28"/>
          <w:szCs w:val="28"/>
        </w:rPr>
        <w:lastRenderedPageBreak/>
        <w:t xml:space="preserve">і відновлення незалежної Польської держави. Найбільшим піднесенням цього руху було повстання 1863–1864 рр. Воно почалося у ніч з 22 на 23 січня 1863 р. нападом повстанських загонів на гарнізони царських військ. У квітні 1863 р. воно перекинулося на Правобережжя і охопило частину Київської та Волинської губерній. Тут діяло 20 повстанських загонів. </w:t>
      </w:r>
    </w:p>
    <w:p w14:paraId="4A03035A" w14:textId="77777777" w:rsidR="00EF10A3"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На Волині діяв загін Е.</w:t>
      </w:r>
      <w:r w:rsidR="00A45114" w:rsidRPr="002E5180">
        <w:rPr>
          <w:rFonts w:ascii="Times New Roman" w:hAnsi="Times New Roman" w:cs="Times New Roman"/>
          <w:sz w:val="28"/>
          <w:szCs w:val="28"/>
        </w:rPr>
        <w:t xml:space="preserve"> </w:t>
      </w:r>
      <w:proofErr w:type="spellStart"/>
      <w:r w:rsidRPr="002E5180">
        <w:rPr>
          <w:rFonts w:ascii="Times New Roman" w:hAnsi="Times New Roman" w:cs="Times New Roman"/>
          <w:sz w:val="28"/>
          <w:szCs w:val="28"/>
        </w:rPr>
        <w:t>Ружицького</w:t>
      </w:r>
      <w:proofErr w:type="spellEnd"/>
      <w:r w:rsidRPr="002E5180">
        <w:rPr>
          <w:rFonts w:ascii="Times New Roman" w:hAnsi="Times New Roman" w:cs="Times New Roman"/>
          <w:sz w:val="28"/>
          <w:szCs w:val="28"/>
        </w:rPr>
        <w:t xml:space="preserve"> у складі 500 осіб. У польському повстанні взяли участь близько 500 українців, росіян та білорусів. Серед них був українець А.</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Потебня, який очолив один із повстанських загонів і загинув у бою. Повстання не отримало масової підтримки з боку українського населення, тому що керівництво ігнорувало соціальні інтереси українського селянства, а Правобережжя у разі перемоги повстанців мало відійти до складу Польщі. У 1864 р. повстання було придушене царськими військами. </w:t>
      </w:r>
    </w:p>
    <w:p w14:paraId="5048C4CA" w14:textId="77777777" w:rsidR="00B91EF1"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У 70–80-х рр. ХІХ ст. у Наддніпрянській Україні набув поширення народницький рух. Його соціальною базою були вихідці із дворянської та різночинської інтелігенції. Народники вважали безперспективним для Росії капіталістичний шлях розвитку. На їх думку, необхідним було встановлення соціалістичного устрою на основі селянської общини. Основним шляхом створення якого вони вважали революцію. З 1874 р. народники розпочали практику “ходіння в народ” з метою поширення революційних ідей. В Україні діяли такі народницькі організації: “</w:t>
      </w:r>
      <w:proofErr w:type="spellStart"/>
      <w:r w:rsidRPr="002E5180">
        <w:rPr>
          <w:rFonts w:ascii="Times New Roman" w:hAnsi="Times New Roman" w:cs="Times New Roman"/>
          <w:sz w:val="28"/>
          <w:szCs w:val="28"/>
        </w:rPr>
        <w:t>чайківці</w:t>
      </w:r>
      <w:proofErr w:type="spellEnd"/>
      <w:r w:rsidRPr="002E5180">
        <w:rPr>
          <w:rFonts w:ascii="Times New Roman" w:hAnsi="Times New Roman" w:cs="Times New Roman"/>
          <w:sz w:val="28"/>
          <w:szCs w:val="28"/>
        </w:rPr>
        <w:t>”, “Київська комуна”, гуртки в Одесі, Харкові, Житомирі та інших містах. Активними діячами були Я.</w:t>
      </w:r>
      <w:r w:rsidR="00B91EF1">
        <w:rPr>
          <w:rFonts w:ascii="Times New Roman" w:hAnsi="Times New Roman" w:cs="Times New Roman"/>
          <w:sz w:val="28"/>
          <w:szCs w:val="28"/>
        </w:rPr>
        <w:t xml:space="preserve"> </w:t>
      </w:r>
      <w:proofErr w:type="spellStart"/>
      <w:r w:rsidRPr="002E5180">
        <w:rPr>
          <w:rFonts w:ascii="Times New Roman" w:hAnsi="Times New Roman" w:cs="Times New Roman"/>
          <w:sz w:val="28"/>
          <w:szCs w:val="28"/>
        </w:rPr>
        <w:t>Стефанович</w:t>
      </w:r>
      <w:proofErr w:type="spellEnd"/>
      <w:r w:rsidRPr="002E5180">
        <w:rPr>
          <w:rFonts w:ascii="Times New Roman" w:hAnsi="Times New Roman" w:cs="Times New Roman"/>
          <w:sz w:val="28"/>
          <w:szCs w:val="28"/>
        </w:rPr>
        <w:t>, Л.</w:t>
      </w:r>
      <w:r w:rsidR="00B91EF1">
        <w:rPr>
          <w:rFonts w:ascii="Times New Roman" w:hAnsi="Times New Roman" w:cs="Times New Roman"/>
          <w:sz w:val="28"/>
          <w:szCs w:val="28"/>
        </w:rPr>
        <w:t xml:space="preserve"> </w:t>
      </w:r>
      <w:r w:rsidRPr="002E5180">
        <w:rPr>
          <w:rFonts w:ascii="Times New Roman" w:hAnsi="Times New Roman" w:cs="Times New Roman"/>
          <w:sz w:val="28"/>
          <w:szCs w:val="28"/>
        </w:rPr>
        <w:t>Дейч, І.</w:t>
      </w:r>
      <w:r w:rsidR="00B91EF1">
        <w:rPr>
          <w:rFonts w:ascii="Times New Roman" w:hAnsi="Times New Roman" w:cs="Times New Roman"/>
          <w:sz w:val="28"/>
          <w:szCs w:val="28"/>
        </w:rPr>
        <w:t xml:space="preserve"> </w:t>
      </w:r>
      <w:proofErr w:type="spellStart"/>
      <w:r w:rsidRPr="002E5180">
        <w:rPr>
          <w:rFonts w:ascii="Times New Roman" w:hAnsi="Times New Roman" w:cs="Times New Roman"/>
          <w:sz w:val="28"/>
          <w:szCs w:val="28"/>
        </w:rPr>
        <w:t>Бохановський</w:t>
      </w:r>
      <w:proofErr w:type="spellEnd"/>
      <w:r w:rsidRPr="002E5180">
        <w:rPr>
          <w:rFonts w:ascii="Times New Roman" w:hAnsi="Times New Roman" w:cs="Times New Roman"/>
          <w:sz w:val="28"/>
          <w:szCs w:val="28"/>
        </w:rPr>
        <w:t xml:space="preserve">. Згодом народники переходять до позиції політичної боротьби із самодержавством. </w:t>
      </w:r>
    </w:p>
    <w:p w14:paraId="61E418B3" w14:textId="77777777" w:rsidR="00B91EF1"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Наприкінці 70-х рр. народництво поділялося на 2 течії: помірковану, уособленням якої стала організація “Чорний переділ”, і радикальну – “Народна воля”. Таким чином, народництво пройшло шлях від революційної агітації до активної політичної боротьби та тероризму. Народницький рух мав значний вплив на суспільно-політичну ситуацію в Україні. Одним із його проявів була “Чигиринська змова” (1877) – спроба створити серед селян революційні організації – “таємні дружини” для підготовки повстання проти дворян, чиновників, вищих станів. До “таємних дружин” вступило понад тисячу селян. Вони таємно збиралися на сходки і готували повстання на 1 жовтня 1877 р. Але змовників було викрито, багато з них заарештовано. </w:t>
      </w:r>
    </w:p>
    <w:p w14:paraId="7F211BE5" w14:textId="77777777" w:rsidR="00B91EF1"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Великий вплив на національну свідомість українців справила діяльність М.</w:t>
      </w:r>
      <w:r w:rsidR="00B91EF1">
        <w:rPr>
          <w:rFonts w:ascii="Times New Roman" w:hAnsi="Times New Roman" w:cs="Times New Roman"/>
          <w:sz w:val="28"/>
          <w:szCs w:val="28"/>
        </w:rPr>
        <w:t xml:space="preserve"> </w:t>
      </w:r>
      <w:r w:rsidRPr="002E5180">
        <w:rPr>
          <w:rFonts w:ascii="Times New Roman" w:hAnsi="Times New Roman" w:cs="Times New Roman"/>
          <w:sz w:val="28"/>
          <w:szCs w:val="28"/>
        </w:rPr>
        <w:t>Драгоманова (1841–1895) – видатного публіциста, історика, літературознавця, філософа. Він очолював ліве крило Київської громади. У своїх творах М.</w:t>
      </w:r>
      <w:r w:rsidR="00B91EF1">
        <w:rPr>
          <w:rFonts w:ascii="Times New Roman" w:hAnsi="Times New Roman" w:cs="Times New Roman"/>
          <w:sz w:val="28"/>
          <w:szCs w:val="28"/>
        </w:rPr>
        <w:t xml:space="preserve"> </w:t>
      </w:r>
      <w:r w:rsidRPr="002E5180">
        <w:rPr>
          <w:rFonts w:ascii="Times New Roman" w:hAnsi="Times New Roman" w:cs="Times New Roman"/>
          <w:sz w:val="28"/>
          <w:szCs w:val="28"/>
        </w:rPr>
        <w:t xml:space="preserve">Драгоманов виступав проти соціального і національного поневолення українського народу російським царизмом і австрійською монархією. Він відстоював право на українського народу на самовизначення у демократичній федеративній державі, популяризував його культурні надбання. Основні його історико-публіцистичні твори: “Про українських козаків, татар і турків”, “Шевченко, українофіли і соціалізм” та ін. У 1876 р. він емігрував і заснував у </w:t>
      </w:r>
      <w:r w:rsidRPr="002E5180">
        <w:rPr>
          <w:rFonts w:ascii="Times New Roman" w:hAnsi="Times New Roman" w:cs="Times New Roman"/>
          <w:sz w:val="28"/>
          <w:szCs w:val="28"/>
        </w:rPr>
        <w:lastRenderedPageBreak/>
        <w:t xml:space="preserve">Женеві українську друкарню, де видавав політичний журнал “Громада”. Останні роки життя провів у Болгарії, але підтримував зв’язки з Україною. </w:t>
      </w:r>
    </w:p>
    <w:p w14:paraId="1A1AAFA9" w14:textId="77777777" w:rsidR="00FC076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Наприкінці ХІХ ст. спостерігається політизація українського національного руху, виникають політичні організації та партії. Однією з таких організацій було “Братство тарасівців” (1891), засновниками якого стали М.</w:t>
      </w:r>
      <w:r w:rsidR="00A45114" w:rsidRPr="002E5180">
        <w:rPr>
          <w:rFonts w:ascii="Times New Roman" w:hAnsi="Times New Roman" w:cs="Times New Roman"/>
          <w:sz w:val="28"/>
          <w:szCs w:val="28"/>
        </w:rPr>
        <w:t xml:space="preserve"> </w:t>
      </w:r>
      <w:proofErr w:type="spellStart"/>
      <w:r w:rsidRPr="002E5180">
        <w:rPr>
          <w:rFonts w:ascii="Times New Roman" w:hAnsi="Times New Roman" w:cs="Times New Roman"/>
          <w:sz w:val="28"/>
          <w:szCs w:val="28"/>
        </w:rPr>
        <w:t>Базькевич</w:t>
      </w:r>
      <w:proofErr w:type="spellEnd"/>
      <w:r w:rsidRPr="002E5180">
        <w:rPr>
          <w:rFonts w:ascii="Times New Roman" w:hAnsi="Times New Roman" w:cs="Times New Roman"/>
          <w:sz w:val="28"/>
          <w:szCs w:val="28"/>
        </w:rPr>
        <w:t>, І.</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Липа, В.</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Боровик та ін. Відділи товариства (по 8–10 </w:t>
      </w:r>
      <w:proofErr w:type="spellStart"/>
      <w:r w:rsidRPr="002E5180">
        <w:rPr>
          <w:rFonts w:ascii="Times New Roman" w:hAnsi="Times New Roman" w:cs="Times New Roman"/>
          <w:sz w:val="28"/>
          <w:szCs w:val="28"/>
        </w:rPr>
        <w:t>чол</w:t>
      </w:r>
      <w:proofErr w:type="spellEnd"/>
      <w:r w:rsidRPr="002E5180">
        <w:rPr>
          <w:rFonts w:ascii="Times New Roman" w:hAnsi="Times New Roman" w:cs="Times New Roman"/>
          <w:sz w:val="28"/>
          <w:szCs w:val="28"/>
        </w:rPr>
        <w:t xml:space="preserve">.) діяли більш як у десяти містах. Спочатку “тарасівці” стояли на самостійницьких позиціях, але згодом перейшли на </w:t>
      </w:r>
      <w:proofErr w:type="spellStart"/>
      <w:r w:rsidRPr="002E5180">
        <w:rPr>
          <w:rFonts w:ascii="Times New Roman" w:hAnsi="Times New Roman" w:cs="Times New Roman"/>
          <w:sz w:val="28"/>
          <w:szCs w:val="28"/>
        </w:rPr>
        <w:t>автономістсько</w:t>
      </w:r>
      <w:proofErr w:type="spellEnd"/>
      <w:r w:rsidRPr="002E5180">
        <w:rPr>
          <w:rFonts w:ascii="Times New Roman" w:hAnsi="Times New Roman" w:cs="Times New Roman"/>
          <w:sz w:val="28"/>
          <w:szCs w:val="28"/>
        </w:rPr>
        <w:t xml:space="preserve">-федералістські позиції, що знайшло відображення у “Символі віри” – їхньому програмному документі. У 1893 р. розгромлено харківський гурток товариства, але інші ще деякий час продовжували свою роботу самостійно, або об’єднувалися з іншими організаціями. </w:t>
      </w:r>
    </w:p>
    <w:p w14:paraId="59AC7A77" w14:textId="77777777" w:rsidR="00FC076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На західноукраїнських землях у суспільно-політичному русі було дві основні течії: </w:t>
      </w:r>
      <w:proofErr w:type="spellStart"/>
      <w:r w:rsidRPr="00FC0769">
        <w:rPr>
          <w:rFonts w:ascii="Times New Roman" w:hAnsi="Times New Roman" w:cs="Times New Roman"/>
          <w:i/>
          <w:iCs/>
          <w:sz w:val="28"/>
          <w:szCs w:val="28"/>
        </w:rPr>
        <w:t>народовство</w:t>
      </w:r>
      <w:proofErr w:type="spellEnd"/>
      <w:r w:rsidRPr="00FC0769">
        <w:rPr>
          <w:rFonts w:ascii="Times New Roman" w:hAnsi="Times New Roman" w:cs="Times New Roman"/>
          <w:i/>
          <w:iCs/>
          <w:sz w:val="28"/>
          <w:szCs w:val="28"/>
        </w:rPr>
        <w:t xml:space="preserve"> і </w:t>
      </w:r>
      <w:proofErr w:type="spellStart"/>
      <w:r w:rsidRPr="00FC0769">
        <w:rPr>
          <w:rFonts w:ascii="Times New Roman" w:hAnsi="Times New Roman" w:cs="Times New Roman"/>
          <w:i/>
          <w:iCs/>
          <w:sz w:val="28"/>
          <w:szCs w:val="28"/>
        </w:rPr>
        <w:t>москвофілльство</w:t>
      </w:r>
      <w:proofErr w:type="spellEnd"/>
      <w:r w:rsidRPr="00FC0769">
        <w:rPr>
          <w:rFonts w:ascii="Times New Roman" w:hAnsi="Times New Roman" w:cs="Times New Roman"/>
          <w:i/>
          <w:iCs/>
          <w:sz w:val="28"/>
          <w:szCs w:val="28"/>
        </w:rPr>
        <w:t>. Народовці</w:t>
      </w:r>
      <w:r w:rsidRPr="002E5180">
        <w:rPr>
          <w:rFonts w:ascii="Times New Roman" w:hAnsi="Times New Roman" w:cs="Times New Roman"/>
          <w:sz w:val="28"/>
          <w:szCs w:val="28"/>
        </w:rPr>
        <w:t xml:space="preserve"> відстоювали самобутність і єдність українців західного регіону і Наддніпрянщини, здійснювали, головним чином, культурно-просвітницьку діяльність, спрямовану на утвердження української літературної мови, піднесення освітнього та культурного рівня народу. Вони видавали українські періодичні видання: “Нива”, “Мета”, “Діло” та ін., заснували ряд культурно-освітніх та наукових товариств. </w:t>
      </w:r>
    </w:p>
    <w:p w14:paraId="499E2AD6" w14:textId="77777777" w:rsidR="00FC0769" w:rsidRDefault="004A4631" w:rsidP="002E5180">
      <w:pPr>
        <w:spacing w:after="0"/>
        <w:ind w:firstLine="709"/>
        <w:jc w:val="both"/>
        <w:rPr>
          <w:rFonts w:ascii="Times New Roman" w:hAnsi="Times New Roman" w:cs="Times New Roman"/>
          <w:sz w:val="28"/>
          <w:szCs w:val="28"/>
        </w:rPr>
      </w:pPr>
      <w:proofErr w:type="spellStart"/>
      <w:r w:rsidRPr="002E5180">
        <w:rPr>
          <w:rFonts w:ascii="Times New Roman" w:hAnsi="Times New Roman" w:cs="Times New Roman"/>
          <w:sz w:val="28"/>
          <w:szCs w:val="28"/>
        </w:rPr>
        <w:t>Найдієвішим</w:t>
      </w:r>
      <w:proofErr w:type="spellEnd"/>
      <w:r w:rsidRPr="002E5180">
        <w:rPr>
          <w:rFonts w:ascii="Times New Roman" w:hAnsi="Times New Roman" w:cs="Times New Roman"/>
          <w:sz w:val="28"/>
          <w:szCs w:val="28"/>
        </w:rPr>
        <w:t xml:space="preserve"> із них було товариство</w:t>
      </w:r>
      <w:r w:rsidRPr="00FC0769">
        <w:rPr>
          <w:rFonts w:ascii="Times New Roman" w:hAnsi="Times New Roman" w:cs="Times New Roman"/>
          <w:i/>
          <w:iCs/>
          <w:sz w:val="28"/>
          <w:szCs w:val="28"/>
        </w:rPr>
        <w:t xml:space="preserve"> “Просвіта</w:t>
      </w:r>
      <w:r w:rsidRPr="002E5180">
        <w:rPr>
          <w:rFonts w:ascii="Times New Roman" w:hAnsi="Times New Roman" w:cs="Times New Roman"/>
          <w:sz w:val="28"/>
          <w:szCs w:val="28"/>
        </w:rPr>
        <w:t>”, засноване 1868 р. у Львові на чолі з А.</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Вахнянином. Товариство мало читальні, клуби, бібліотеки. До кінця ХІХ ст. у його структурі діяло 19 філій, кількість членів становила близько тисячі. </w:t>
      </w:r>
    </w:p>
    <w:p w14:paraId="0FDA8409" w14:textId="77777777" w:rsidR="00FC076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Зусиллями народовців у 1873 р. засноване літературне товариство ім. Т.</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Шевченка, яке реорганізувалося у Наукове товариство ім. Т.</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Шевченка (НТШ). У ньому діяли філологічна, історико-філософська та природничо-лікарська секції. Першим його головою був Ю.</w:t>
      </w:r>
      <w:r w:rsidR="00A45114" w:rsidRPr="002E5180">
        <w:rPr>
          <w:rFonts w:ascii="Times New Roman" w:hAnsi="Times New Roman" w:cs="Times New Roman"/>
          <w:sz w:val="28"/>
          <w:szCs w:val="28"/>
        </w:rPr>
        <w:t xml:space="preserve"> </w:t>
      </w:r>
      <w:proofErr w:type="spellStart"/>
      <w:r w:rsidRPr="002E5180">
        <w:rPr>
          <w:rFonts w:ascii="Times New Roman" w:hAnsi="Times New Roman" w:cs="Times New Roman"/>
          <w:sz w:val="28"/>
          <w:szCs w:val="28"/>
        </w:rPr>
        <w:t>Целевич</w:t>
      </w:r>
      <w:proofErr w:type="spellEnd"/>
      <w:r w:rsidRPr="002E5180">
        <w:rPr>
          <w:rFonts w:ascii="Times New Roman" w:hAnsi="Times New Roman" w:cs="Times New Roman"/>
          <w:sz w:val="28"/>
          <w:szCs w:val="28"/>
        </w:rPr>
        <w:t>, а з 1894 р. на тривалий час очолив академік М.</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Грушевський. Товариство мало свій часопис “Записки наукового товариства ім. Шевченка” і з 1892 по 1939 р. видало 155 томів. М.</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Грушевський одночасно був професором Львівського університету. З 1898 р. він почав видавати основну свою працю “Історію України-Руси”. </w:t>
      </w:r>
    </w:p>
    <w:p w14:paraId="45A4617C" w14:textId="77777777" w:rsidR="00FC076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До активних народовців належали В.</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Шашкевич, Ю.</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Романчук, О.</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Барвінський, К.</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Левицький та ін. Народовці 24 жовтня 1895 р. створили у Львові свою політичну організацію “Народну раду” на чолі з Ю.</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Романчуком. Вона продовжила традиції Головної руської ради, стояла на позиціях єдності галицьких і наддніпрянських українців, наголошувала на окремішності українців від поляків і росіян. </w:t>
      </w:r>
    </w:p>
    <w:p w14:paraId="2467B8B6" w14:textId="77777777" w:rsidR="00FC076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Москвофільство як течія </w:t>
      </w:r>
      <w:proofErr w:type="spellStart"/>
      <w:r w:rsidRPr="002E5180">
        <w:rPr>
          <w:rFonts w:ascii="Times New Roman" w:hAnsi="Times New Roman" w:cs="Times New Roman"/>
          <w:sz w:val="28"/>
          <w:szCs w:val="28"/>
        </w:rPr>
        <w:t>виникло</w:t>
      </w:r>
      <w:proofErr w:type="spellEnd"/>
      <w:r w:rsidRPr="002E5180">
        <w:rPr>
          <w:rFonts w:ascii="Times New Roman" w:hAnsi="Times New Roman" w:cs="Times New Roman"/>
          <w:sz w:val="28"/>
          <w:szCs w:val="28"/>
        </w:rPr>
        <w:t xml:space="preserve"> у 1848 р. До неї належали Д.</w:t>
      </w:r>
      <w:r w:rsidR="00FC0769">
        <w:rPr>
          <w:rFonts w:ascii="Times New Roman" w:hAnsi="Times New Roman" w:cs="Times New Roman"/>
          <w:sz w:val="28"/>
          <w:szCs w:val="28"/>
        </w:rPr>
        <w:t xml:space="preserve"> </w:t>
      </w:r>
      <w:r w:rsidRPr="002E5180">
        <w:rPr>
          <w:rFonts w:ascii="Times New Roman" w:hAnsi="Times New Roman" w:cs="Times New Roman"/>
          <w:sz w:val="28"/>
          <w:szCs w:val="28"/>
        </w:rPr>
        <w:t>Зубрицький, Б</w:t>
      </w:r>
      <w:r w:rsidR="00FC0769">
        <w:rPr>
          <w:rFonts w:ascii="Times New Roman" w:hAnsi="Times New Roman" w:cs="Times New Roman"/>
          <w:sz w:val="28"/>
          <w:szCs w:val="28"/>
        </w:rPr>
        <w:t xml:space="preserve"> </w:t>
      </w:r>
      <w:r w:rsidRPr="002E5180">
        <w:rPr>
          <w:rFonts w:ascii="Times New Roman" w:hAnsi="Times New Roman" w:cs="Times New Roman"/>
          <w:sz w:val="28"/>
          <w:szCs w:val="28"/>
        </w:rPr>
        <w:t>.</w:t>
      </w:r>
      <w:proofErr w:type="spellStart"/>
      <w:r w:rsidRPr="002E5180">
        <w:rPr>
          <w:rFonts w:ascii="Times New Roman" w:hAnsi="Times New Roman" w:cs="Times New Roman"/>
          <w:sz w:val="28"/>
          <w:szCs w:val="28"/>
        </w:rPr>
        <w:t>Дідицький</w:t>
      </w:r>
      <w:proofErr w:type="spellEnd"/>
      <w:r w:rsidRPr="002E5180">
        <w:rPr>
          <w:rFonts w:ascii="Times New Roman" w:hAnsi="Times New Roman" w:cs="Times New Roman"/>
          <w:sz w:val="28"/>
          <w:szCs w:val="28"/>
        </w:rPr>
        <w:t>, А.</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Добрянський та ін. Москвофіли орієнтувалися на російський царизм, відстоювали думку, що на всій території Російської імперії живе єдиний “руський” народ з єдиною мовою, українського народу як самостійного не існує, є лише українське відгалуження “руського народу” і єдиної “руської” мови. Самі </w:t>
      </w:r>
      <w:r w:rsidRPr="002E5180">
        <w:rPr>
          <w:rFonts w:ascii="Times New Roman" w:hAnsi="Times New Roman" w:cs="Times New Roman"/>
          <w:sz w:val="28"/>
          <w:szCs w:val="28"/>
        </w:rPr>
        <w:lastRenderedPageBreak/>
        <w:t>вони користувалися “</w:t>
      </w:r>
      <w:proofErr w:type="spellStart"/>
      <w:r w:rsidRPr="002E5180">
        <w:rPr>
          <w:rFonts w:ascii="Times New Roman" w:hAnsi="Times New Roman" w:cs="Times New Roman"/>
          <w:sz w:val="28"/>
          <w:szCs w:val="28"/>
        </w:rPr>
        <w:t>язичієм</w:t>
      </w:r>
      <w:proofErr w:type="spellEnd"/>
      <w:r w:rsidRPr="002E5180">
        <w:rPr>
          <w:rFonts w:ascii="Times New Roman" w:hAnsi="Times New Roman" w:cs="Times New Roman"/>
          <w:sz w:val="28"/>
          <w:szCs w:val="28"/>
        </w:rPr>
        <w:t xml:space="preserve">” – сумішшю російської, української, </w:t>
      </w:r>
      <w:proofErr w:type="spellStart"/>
      <w:r w:rsidRPr="002E5180">
        <w:rPr>
          <w:rFonts w:ascii="Times New Roman" w:hAnsi="Times New Roman" w:cs="Times New Roman"/>
          <w:sz w:val="28"/>
          <w:szCs w:val="28"/>
        </w:rPr>
        <w:t>сторослов’янської</w:t>
      </w:r>
      <w:proofErr w:type="spellEnd"/>
      <w:r w:rsidRPr="002E5180">
        <w:rPr>
          <w:rFonts w:ascii="Times New Roman" w:hAnsi="Times New Roman" w:cs="Times New Roman"/>
          <w:sz w:val="28"/>
          <w:szCs w:val="28"/>
        </w:rPr>
        <w:t xml:space="preserve"> та польської мов. Мали друкований орган – газету “Слово”, діставали підтримку у тому числі грошову від урядових царських установ. </w:t>
      </w:r>
    </w:p>
    <w:p w14:paraId="468AF489" w14:textId="77777777" w:rsidR="00045FE1"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Поряд з </w:t>
      </w:r>
      <w:proofErr w:type="spellStart"/>
      <w:r w:rsidRPr="002E5180">
        <w:rPr>
          <w:rFonts w:ascii="Times New Roman" w:hAnsi="Times New Roman" w:cs="Times New Roman"/>
          <w:sz w:val="28"/>
          <w:szCs w:val="28"/>
        </w:rPr>
        <w:t>народовством</w:t>
      </w:r>
      <w:proofErr w:type="spellEnd"/>
      <w:r w:rsidRPr="002E5180">
        <w:rPr>
          <w:rFonts w:ascii="Times New Roman" w:hAnsi="Times New Roman" w:cs="Times New Roman"/>
          <w:sz w:val="28"/>
          <w:szCs w:val="28"/>
        </w:rPr>
        <w:t xml:space="preserve"> та москвофільством з середини 70-х рр. ХІХ ст. став розвиватися </w:t>
      </w:r>
      <w:r w:rsidRPr="00FC0769">
        <w:rPr>
          <w:rFonts w:ascii="Times New Roman" w:hAnsi="Times New Roman" w:cs="Times New Roman"/>
          <w:i/>
          <w:iCs/>
          <w:sz w:val="28"/>
          <w:szCs w:val="28"/>
        </w:rPr>
        <w:t>радикальний рух</w:t>
      </w:r>
      <w:r w:rsidRPr="002E5180">
        <w:rPr>
          <w:rFonts w:ascii="Times New Roman" w:hAnsi="Times New Roman" w:cs="Times New Roman"/>
          <w:sz w:val="28"/>
          <w:szCs w:val="28"/>
        </w:rPr>
        <w:t xml:space="preserve"> (діячі І.</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Франко, М.</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Павлик, О.</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Терлецький та ін.). У </w:t>
      </w:r>
      <w:r w:rsidRPr="00FC0769">
        <w:rPr>
          <w:rFonts w:ascii="Times New Roman" w:hAnsi="Times New Roman" w:cs="Times New Roman"/>
          <w:i/>
          <w:iCs/>
          <w:sz w:val="28"/>
          <w:szCs w:val="28"/>
        </w:rPr>
        <w:t>соціальному питанні</w:t>
      </w:r>
      <w:r w:rsidRPr="002E5180">
        <w:rPr>
          <w:rFonts w:ascii="Times New Roman" w:hAnsi="Times New Roman" w:cs="Times New Roman"/>
          <w:sz w:val="28"/>
          <w:szCs w:val="28"/>
        </w:rPr>
        <w:t xml:space="preserve"> діячі цього руху виступали за ліквідацію залишків кріпосництва, викривали експлуататорську суть капіталізму і вимагали його заміни на справедливий соціалістичний лад. У </w:t>
      </w:r>
      <w:r w:rsidRPr="00045FE1">
        <w:rPr>
          <w:rFonts w:ascii="Times New Roman" w:hAnsi="Times New Roman" w:cs="Times New Roman"/>
          <w:i/>
          <w:iCs/>
          <w:sz w:val="28"/>
          <w:szCs w:val="28"/>
        </w:rPr>
        <w:t>національному питанні</w:t>
      </w:r>
      <w:r w:rsidRPr="002E5180">
        <w:rPr>
          <w:rFonts w:ascii="Times New Roman" w:hAnsi="Times New Roman" w:cs="Times New Roman"/>
          <w:sz w:val="28"/>
          <w:szCs w:val="28"/>
        </w:rPr>
        <w:t xml:space="preserve"> радикали боролися проти національного поневолення українців імперськими державами і за об’єднання всіх українських земель. </w:t>
      </w:r>
    </w:p>
    <w:p w14:paraId="6DD15B65" w14:textId="77777777" w:rsidR="00045FE1"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Радикальний рух набув чіткіших організаційних форм. У 1890 р. його представники утворили “</w:t>
      </w:r>
      <w:proofErr w:type="spellStart"/>
      <w:r w:rsidRPr="002E5180">
        <w:rPr>
          <w:rFonts w:ascii="Times New Roman" w:hAnsi="Times New Roman" w:cs="Times New Roman"/>
          <w:sz w:val="28"/>
          <w:szCs w:val="28"/>
        </w:rPr>
        <w:t>Русько</w:t>
      </w:r>
      <w:proofErr w:type="spellEnd"/>
      <w:r w:rsidRPr="002E5180">
        <w:rPr>
          <w:rFonts w:ascii="Times New Roman" w:hAnsi="Times New Roman" w:cs="Times New Roman"/>
          <w:sz w:val="28"/>
          <w:szCs w:val="28"/>
        </w:rPr>
        <w:t xml:space="preserve">-українську радикальну партію” – першу легальну політичну партію європейського зразка. Це започаткувало виникнення інших партій: Української народно-демократичної – УНДП (1899), </w:t>
      </w:r>
      <w:proofErr w:type="spellStart"/>
      <w:r w:rsidRPr="002E5180">
        <w:rPr>
          <w:rFonts w:ascii="Times New Roman" w:hAnsi="Times New Roman" w:cs="Times New Roman"/>
          <w:sz w:val="28"/>
          <w:szCs w:val="28"/>
        </w:rPr>
        <w:t>Русько</w:t>
      </w:r>
      <w:proofErr w:type="spellEnd"/>
      <w:r w:rsidRPr="002E5180">
        <w:rPr>
          <w:rFonts w:ascii="Times New Roman" w:hAnsi="Times New Roman" w:cs="Times New Roman"/>
          <w:sz w:val="28"/>
          <w:szCs w:val="28"/>
        </w:rPr>
        <w:t xml:space="preserve">-українського християнського союзу (1896). Наприкінці ХІХ ст. нові ідеї з’являються в українській політичній думці. </w:t>
      </w:r>
    </w:p>
    <w:p w14:paraId="4FD4F202" w14:textId="37550C4C" w:rsidR="00045FE1"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У 1895 р. вийшла книга Ю.</w:t>
      </w:r>
      <w:r w:rsidR="00A45114" w:rsidRPr="002E5180">
        <w:rPr>
          <w:rFonts w:ascii="Times New Roman" w:hAnsi="Times New Roman" w:cs="Times New Roman"/>
          <w:sz w:val="28"/>
          <w:szCs w:val="28"/>
        </w:rPr>
        <w:t xml:space="preserve"> </w:t>
      </w:r>
      <w:r w:rsidRPr="002E5180">
        <w:rPr>
          <w:rFonts w:ascii="Times New Roman" w:hAnsi="Times New Roman" w:cs="Times New Roman"/>
          <w:sz w:val="28"/>
          <w:szCs w:val="28"/>
        </w:rPr>
        <w:t xml:space="preserve">Бачинського “Україна уярмлена”, де автор чітко сформулював і аргументував ідею про необхідність політичної самостійності України. Згодом ця ідея лягла в основу програм багатьох українських політичних партій. </w:t>
      </w:r>
    </w:p>
    <w:p w14:paraId="54C583B8" w14:textId="77777777" w:rsidR="00045FE1" w:rsidRDefault="00045FE1" w:rsidP="002E5180">
      <w:pPr>
        <w:spacing w:after="0"/>
        <w:ind w:firstLine="709"/>
        <w:jc w:val="both"/>
        <w:rPr>
          <w:rFonts w:ascii="Times New Roman" w:hAnsi="Times New Roman" w:cs="Times New Roman"/>
          <w:sz w:val="28"/>
          <w:szCs w:val="28"/>
        </w:rPr>
      </w:pPr>
    </w:p>
    <w:p w14:paraId="174CFAE1" w14:textId="44C16134" w:rsidR="00045FE1" w:rsidRPr="00045FE1" w:rsidRDefault="00045FE1" w:rsidP="00045FE1">
      <w:pPr>
        <w:pStyle w:val="a4"/>
        <w:spacing w:after="0"/>
        <w:ind w:left="467" w:firstLine="242"/>
        <w:rPr>
          <w:sz w:val="28"/>
          <w:szCs w:val="28"/>
        </w:rPr>
      </w:pPr>
      <w:r>
        <w:rPr>
          <w:b/>
          <w:bCs/>
          <w:sz w:val="28"/>
          <w:szCs w:val="28"/>
        </w:rPr>
        <w:t xml:space="preserve">4. </w:t>
      </w:r>
      <w:r w:rsidR="004A4631" w:rsidRPr="00045FE1">
        <w:rPr>
          <w:b/>
          <w:bCs/>
          <w:sz w:val="28"/>
          <w:szCs w:val="28"/>
        </w:rPr>
        <w:t>Українська культура у другій половині ХІХ ст</w:t>
      </w:r>
      <w:r w:rsidR="004A4631" w:rsidRPr="00045FE1">
        <w:rPr>
          <w:sz w:val="28"/>
          <w:szCs w:val="28"/>
        </w:rPr>
        <w:t xml:space="preserve">. </w:t>
      </w:r>
    </w:p>
    <w:p w14:paraId="04E650CF" w14:textId="77777777" w:rsidR="000D4B0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На розвиток української культури другої половини ХІХ ст. в Наддніпрянській Україні згубно вплинула політика русифікації, найреакційнішим виявом якої було видання “</w:t>
      </w:r>
      <w:proofErr w:type="spellStart"/>
      <w:r w:rsidRPr="000D4B09">
        <w:rPr>
          <w:rFonts w:ascii="Times New Roman" w:hAnsi="Times New Roman" w:cs="Times New Roman"/>
          <w:i/>
          <w:iCs/>
          <w:sz w:val="28"/>
          <w:szCs w:val="28"/>
        </w:rPr>
        <w:t>Валуївського</w:t>
      </w:r>
      <w:proofErr w:type="spellEnd"/>
      <w:r w:rsidRPr="000D4B09">
        <w:rPr>
          <w:rFonts w:ascii="Times New Roman" w:hAnsi="Times New Roman" w:cs="Times New Roman"/>
          <w:i/>
          <w:iCs/>
          <w:sz w:val="28"/>
          <w:szCs w:val="28"/>
        </w:rPr>
        <w:t xml:space="preserve"> циркуляру</w:t>
      </w:r>
      <w:r w:rsidRPr="002E5180">
        <w:rPr>
          <w:rFonts w:ascii="Times New Roman" w:hAnsi="Times New Roman" w:cs="Times New Roman"/>
          <w:sz w:val="28"/>
          <w:szCs w:val="28"/>
        </w:rPr>
        <w:t xml:space="preserve">” (1863) і </w:t>
      </w:r>
      <w:r w:rsidRPr="000D4B09">
        <w:rPr>
          <w:rFonts w:ascii="Times New Roman" w:hAnsi="Times New Roman" w:cs="Times New Roman"/>
          <w:i/>
          <w:iCs/>
          <w:sz w:val="28"/>
          <w:szCs w:val="28"/>
        </w:rPr>
        <w:t>“Емського акту</w:t>
      </w:r>
      <w:r w:rsidRPr="002E5180">
        <w:rPr>
          <w:rFonts w:ascii="Times New Roman" w:hAnsi="Times New Roman" w:cs="Times New Roman"/>
          <w:sz w:val="28"/>
          <w:szCs w:val="28"/>
        </w:rPr>
        <w:t xml:space="preserve">” (1876), які забороняли друкування українських книг, ввезення їх із-за кордону, постановку п’єс українською мовою без особливого дозволу тощо. </w:t>
      </w:r>
    </w:p>
    <w:p w14:paraId="0BFAC6F8" w14:textId="77777777" w:rsidR="000D4B0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Розвиток освіти регламентувала шкільна реформа. У </w:t>
      </w:r>
      <w:r w:rsidRPr="000D4B09">
        <w:rPr>
          <w:rFonts w:ascii="Times New Roman" w:hAnsi="Times New Roman" w:cs="Times New Roman"/>
          <w:i/>
          <w:iCs/>
          <w:sz w:val="28"/>
          <w:szCs w:val="28"/>
        </w:rPr>
        <w:t>системі початкової</w:t>
      </w:r>
      <w:r w:rsidRPr="002E5180">
        <w:rPr>
          <w:rFonts w:ascii="Times New Roman" w:hAnsi="Times New Roman" w:cs="Times New Roman"/>
          <w:sz w:val="28"/>
          <w:szCs w:val="28"/>
        </w:rPr>
        <w:t xml:space="preserve"> освіти вона передбачала створення єдиного типу шкіл – початкових народних училищ, навчання в яких тривало 5 років і велося за єдиними програмами і планами. Проте навчанням у початкових школах була охоплена лише третина дітей і на 1897 р. серед населення віком від 9 до 49 років письменними були лише 24%. </w:t>
      </w:r>
    </w:p>
    <w:p w14:paraId="27D9C075" w14:textId="77777777" w:rsidR="000D4B0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У середній освіті передбачалось створення 4-річних прогімназій і 7- річних гімназій (реальних і класичних). Потім реальні гімназії були реорганізовані у реальні училища. До кінця ХІХ ст. в Україні діяло 129 гімназій.</w:t>
      </w:r>
    </w:p>
    <w:p w14:paraId="40008E56" w14:textId="77777777" w:rsidR="000D4B0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 Основними вищими навчальними закладами були університети. В Наддніпрянщині їх було три: Харківський (1805), Київський (1834) і Новоросійський (1865). </w:t>
      </w:r>
    </w:p>
    <w:p w14:paraId="614CD7D5" w14:textId="77777777" w:rsidR="000D4B09" w:rsidRDefault="004A4631" w:rsidP="002E5180">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Щоб підвищити рівень освіченості українського населення, запровадити у навчальний процес українську мову представники демократичної інтелігенції, особливо громадівці, відкрили мережу недільних шкіл, де могли навчатися як </w:t>
      </w:r>
      <w:r w:rsidRPr="002E5180">
        <w:rPr>
          <w:rFonts w:ascii="Times New Roman" w:hAnsi="Times New Roman" w:cs="Times New Roman"/>
          <w:sz w:val="28"/>
          <w:szCs w:val="28"/>
        </w:rPr>
        <w:lastRenderedPageBreak/>
        <w:t xml:space="preserve">діти так і дорослі. Першу таку школу відкрито в Києві у 1859 р. До 1862 р. було відкрито 110 недільних шкіл, але у цьому самому році царський уряд їх заборонив. Із 1864 р. їх функціонування було дозволено, але з великими обмеженнями. </w:t>
      </w:r>
    </w:p>
    <w:p w14:paraId="68CB9E85" w14:textId="418AAF50" w:rsidR="000D4B09"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 другій половині ХІХ ст. помітно прогресує українська наука. У галузі </w:t>
      </w:r>
      <w:r w:rsidRPr="000D4B09">
        <w:rPr>
          <w:rFonts w:ascii="Times New Roman" w:hAnsi="Times New Roman" w:cs="Times New Roman"/>
          <w:i/>
          <w:iCs/>
          <w:sz w:val="28"/>
          <w:szCs w:val="28"/>
        </w:rPr>
        <w:t>історичної науки</w:t>
      </w:r>
      <w:r w:rsidRPr="002E5180">
        <w:rPr>
          <w:rFonts w:ascii="Times New Roman" w:hAnsi="Times New Roman" w:cs="Times New Roman"/>
          <w:sz w:val="28"/>
          <w:szCs w:val="28"/>
        </w:rPr>
        <w:t xml:space="preserve"> працювали В. Антонович – засновник </w:t>
      </w:r>
      <w:r w:rsidRPr="000D4B09">
        <w:rPr>
          <w:rFonts w:ascii="Times New Roman" w:hAnsi="Times New Roman" w:cs="Times New Roman"/>
          <w:i/>
          <w:iCs/>
          <w:sz w:val="28"/>
          <w:szCs w:val="28"/>
        </w:rPr>
        <w:t>документальної школи</w:t>
      </w:r>
      <w:r w:rsidRPr="002E5180">
        <w:rPr>
          <w:rFonts w:ascii="Times New Roman" w:hAnsi="Times New Roman" w:cs="Times New Roman"/>
          <w:sz w:val="28"/>
          <w:szCs w:val="28"/>
        </w:rPr>
        <w:t xml:space="preserve"> дослідників, М. Костомаров, О. Лазаревський, розпочали свою діяльність Д. Багалій, Д. Яворницький, М.  Грушевський. У галузі </w:t>
      </w:r>
      <w:r w:rsidRPr="000D4B09">
        <w:rPr>
          <w:rFonts w:ascii="Times New Roman" w:hAnsi="Times New Roman" w:cs="Times New Roman"/>
          <w:i/>
          <w:iCs/>
          <w:sz w:val="28"/>
          <w:szCs w:val="28"/>
        </w:rPr>
        <w:t>математики</w:t>
      </w:r>
      <w:r w:rsidRPr="002E5180">
        <w:rPr>
          <w:rFonts w:ascii="Times New Roman" w:hAnsi="Times New Roman" w:cs="Times New Roman"/>
          <w:sz w:val="28"/>
          <w:szCs w:val="28"/>
        </w:rPr>
        <w:t xml:space="preserve"> </w:t>
      </w:r>
      <w:r w:rsidR="000D4B09">
        <w:rPr>
          <w:rFonts w:ascii="Times New Roman" w:hAnsi="Times New Roman" w:cs="Times New Roman"/>
          <w:sz w:val="28"/>
          <w:szCs w:val="28"/>
        </w:rPr>
        <w:t>п</w:t>
      </w:r>
      <w:r w:rsidR="000D4B09" w:rsidRPr="002E5180">
        <w:rPr>
          <w:rFonts w:ascii="Times New Roman" w:hAnsi="Times New Roman" w:cs="Times New Roman"/>
          <w:sz w:val="28"/>
          <w:szCs w:val="28"/>
        </w:rPr>
        <w:t>лідна</w:t>
      </w:r>
      <w:r w:rsidRPr="002E5180">
        <w:rPr>
          <w:rFonts w:ascii="Times New Roman" w:hAnsi="Times New Roman" w:cs="Times New Roman"/>
          <w:sz w:val="28"/>
          <w:szCs w:val="28"/>
        </w:rPr>
        <w:t xml:space="preserve"> працювали </w:t>
      </w:r>
      <w:proofErr w:type="spellStart"/>
      <w:r w:rsidRPr="002E5180">
        <w:rPr>
          <w:rFonts w:ascii="Times New Roman" w:hAnsi="Times New Roman" w:cs="Times New Roman"/>
          <w:sz w:val="28"/>
          <w:szCs w:val="28"/>
        </w:rPr>
        <w:t>М.Ващенко</w:t>
      </w:r>
      <w:proofErr w:type="spellEnd"/>
      <w:r w:rsidRPr="002E5180">
        <w:rPr>
          <w:rFonts w:ascii="Times New Roman" w:hAnsi="Times New Roman" w:cs="Times New Roman"/>
          <w:sz w:val="28"/>
          <w:szCs w:val="28"/>
        </w:rPr>
        <w:t xml:space="preserve">-Захарченко, І. Тимченко; у геології – В. Тарасенко, Н. </w:t>
      </w:r>
      <w:proofErr w:type="spellStart"/>
      <w:r w:rsidRPr="002E5180">
        <w:rPr>
          <w:rFonts w:ascii="Times New Roman" w:hAnsi="Times New Roman" w:cs="Times New Roman"/>
          <w:sz w:val="28"/>
          <w:szCs w:val="28"/>
        </w:rPr>
        <w:t>Борисяк</w:t>
      </w:r>
      <w:proofErr w:type="spellEnd"/>
      <w:r w:rsidRPr="002E5180">
        <w:rPr>
          <w:rFonts w:ascii="Times New Roman" w:hAnsi="Times New Roman" w:cs="Times New Roman"/>
          <w:sz w:val="28"/>
          <w:szCs w:val="28"/>
        </w:rPr>
        <w:t xml:space="preserve">; </w:t>
      </w:r>
      <w:r w:rsidRPr="000D4B09">
        <w:rPr>
          <w:rFonts w:ascii="Times New Roman" w:hAnsi="Times New Roman" w:cs="Times New Roman"/>
          <w:i/>
          <w:iCs/>
          <w:sz w:val="28"/>
          <w:szCs w:val="28"/>
        </w:rPr>
        <w:t xml:space="preserve">у біології </w:t>
      </w:r>
      <w:r w:rsidRPr="002E5180">
        <w:rPr>
          <w:rFonts w:ascii="Times New Roman" w:hAnsi="Times New Roman" w:cs="Times New Roman"/>
          <w:sz w:val="28"/>
          <w:szCs w:val="28"/>
        </w:rPr>
        <w:t xml:space="preserve">– М. Гамалія, Д. Заболотний, І. </w:t>
      </w:r>
      <w:proofErr w:type="spellStart"/>
      <w:r w:rsidRPr="002E5180">
        <w:rPr>
          <w:rFonts w:ascii="Times New Roman" w:hAnsi="Times New Roman" w:cs="Times New Roman"/>
          <w:sz w:val="28"/>
          <w:szCs w:val="28"/>
        </w:rPr>
        <w:t>Мєчніков</w:t>
      </w:r>
      <w:proofErr w:type="spellEnd"/>
      <w:r w:rsidRPr="000D4B09">
        <w:rPr>
          <w:rFonts w:ascii="Times New Roman" w:hAnsi="Times New Roman" w:cs="Times New Roman"/>
          <w:i/>
          <w:iCs/>
          <w:sz w:val="28"/>
          <w:szCs w:val="28"/>
        </w:rPr>
        <w:t>; у медицині</w:t>
      </w:r>
      <w:r w:rsidRPr="002E5180">
        <w:rPr>
          <w:rFonts w:ascii="Times New Roman" w:hAnsi="Times New Roman" w:cs="Times New Roman"/>
          <w:sz w:val="28"/>
          <w:szCs w:val="28"/>
        </w:rPr>
        <w:t xml:space="preserve"> – П. </w:t>
      </w:r>
      <w:proofErr w:type="spellStart"/>
      <w:r w:rsidRPr="002E5180">
        <w:rPr>
          <w:rFonts w:ascii="Times New Roman" w:hAnsi="Times New Roman" w:cs="Times New Roman"/>
          <w:sz w:val="28"/>
          <w:szCs w:val="28"/>
        </w:rPr>
        <w:t>Перемежко</w:t>
      </w:r>
      <w:proofErr w:type="spellEnd"/>
      <w:r w:rsidRPr="002E5180">
        <w:rPr>
          <w:rFonts w:ascii="Times New Roman" w:hAnsi="Times New Roman" w:cs="Times New Roman"/>
          <w:sz w:val="28"/>
          <w:szCs w:val="28"/>
        </w:rPr>
        <w:t xml:space="preserve">, Ю. Шимановський. Основними науковими центрами були університети. </w:t>
      </w:r>
    </w:p>
    <w:p w14:paraId="399CFD34" w14:textId="77777777" w:rsidR="000D4B09"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 70–90-х рр. створено ряд наукових товариств: Харківське математичне, Київське фізико-математичне, історичне товариство Нестора Літописця в Києві. </w:t>
      </w:r>
    </w:p>
    <w:p w14:paraId="0EA4E25C" w14:textId="668C90D4" w:rsidR="000D4B09"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На західноукраїнських землях освіта була у занедбаному стані. Так, на 1890 р. у Галичині неписьменне населення становило 66,4%, на Буковині – 75% загальної кількості. </w:t>
      </w:r>
    </w:p>
    <w:p w14:paraId="416E80E7" w14:textId="77777777" w:rsidR="000D4B09"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У системі початкової освіти існували 4-річні українські школи, які не могли охопити освітою більшість дітей шкільного віку. Середню освіту можна було здобути в іншомовних закладах – гімназіях, де викладання здебільшого велося німецькою чи польською мовою. У гімназіях українці становили 8 – 17% загального складу. </w:t>
      </w:r>
    </w:p>
    <w:p w14:paraId="789A1E92" w14:textId="77777777" w:rsidR="000D4B09"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Із вищих навчальних закладів у регіоні існувало 2 університети – Львівський і Чернівецький, відкритий у 1875 р. У Львівському університеті навчання здебільшого велося польською мовою, у Чернівецькому – німецькою (у 1896 р. із 320 студентів тут навчалося лише 20 українців). На хвилі піднесення національного руху в Галичині у 1894 р. в Львівському університеті було засновано кафедру української історії, а у 1900 р. – кафедру української літератури. На цих кафедрах викладали М.Г </w:t>
      </w:r>
      <w:proofErr w:type="spellStart"/>
      <w:r w:rsidRPr="002E5180">
        <w:rPr>
          <w:rFonts w:ascii="Times New Roman" w:hAnsi="Times New Roman" w:cs="Times New Roman"/>
          <w:sz w:val="28"/>
          <w:szCs w:val="28"/>
        </w:rPr>
        <w:t>рушевський</w:t>
      </w:r>
      <w:proofErr w:type="spellEnd"/>
      <w:r w:rsidRPr="002E5180">
        <w:rPr>
          <w:rFonts w:ascii="Times New Roman" w:hAnsi="Times New Roman" w:cs="Times New Roman"/>
          <w:sz w:val="28"/>
          <w:szCs w:val="28"/>
        </w:rPr>
        <w:t xml:space="preserve">, С. Томашівський (історики), Я. Головацький, К. </w:t>
      </w:r>
      <w:proofErr w:type="spellStart"/>
      <w:r w:rsidRPr="002E5180">
        <w:rPr>
          <w:rFonts w:ascii="Times New Roman" w:hAnsi="Times New Roman" w:cs="Times New Roman"/>
          <w:sz w:val="28"/>
          <w:szCs w:val="28"/>
        </w:rPr>
        <w:t>Студинський</w:t>
      </w:r>
      <w:proofErr w:type="spellEnd"/>
      <w:r w:rsidRPr="002E5180">
        <w:rPr>
          <w:rFonts w:ascii="Times New Roman" w:hAnsi="Times New Roman" w:cs="Times New Roman"/>
          <w:sz w:val="28"/>
          <w:szCs w:val="28"/>
        </w:rPr>
        <w:t xml:space="preserve"> (філологи). </w:t>
      </w:r>
    </w:p>
    <w:p w14:paraId="7FD68143" w14:textId="77777777" w:rsidR="000D4B09"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Основним науковим центром було Наукове товариство імені Т. Г. Шевченка у Львові. У такій ситуації важливе значення мала культурно-освітня діяльність товариства “Просвіта”, перша організація якого була створена у Львові в 1868 р. Воно розгорнуло активну видавничу діяльність і лише у 1869–1876 рр. видало 22 підручники накладом 15 100 примірників. При філіях товариства відкриваються читальні, засновуються бібліотеки. Це сприяло піднесенню загального культурного рівня українського населення краю. Активними діячами “Просвіти” були А .Вахнянин, О. Огоновський, Ю. Романчук, О. </w:t>
      </w:r>
      <w:proofErr w:type="spellStart"/>
      <w:r w:rsidRPr="002E5180">
        <w:rPr>
          <w:rFonts w:ascii="Times New Roman" w:hAnsi="Times New Roman" w:cs="Times New Roman"/>
          <w:sz w:val="28"/>
          <w:szCs w:val="28"/>
        </w:rPr>
        <w:t>Патрицький</w:t>
      </w:r>
      <w:proofErr w:type="spellEnd"/>
      <w:r w:rsidRPr="002E5180">
        <w:rPr>
          <w:rFonts w:ascii="Times New Roman" w:hAnsi="Times New Roman" w:cs="Times New Roman"/>
          <w:sz w:val="28"/>
          <w:szCs w:val="28"/>
        </w:rPr>
        <w:t xml:space="preserve"> та ін.</w:t>
      </w:r>
    </w:p>
    <w:p w14:paraId="0C9F7294" w14:textId="77777777" w:rsidR="00353A8D"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В українській літературі другої половині ХІХ ст. утвердився реалістичний напрям. На цей період припадає діяльність таких видатних письменників, як П. Мирний – зачинатель жанру соціально-психологічного роману (“Хіба ревуть воли як ясла повні?”, “Повія”), М. Вовчок (“Народні оповідання”), І. Франко </w:t>
      </w:r>
      <w:r w:rsidRPr="002E5180">
        <w:rPr>
          <w:rFonts w:ascii="Times New Roman" w:hAnsi="Times New Roman" w:cs="Times New Roman"/>
          <w:sz w:val="28"/>
          <w:szCs w:val="28"/>
        </w:rPr>
        <w:lastRenderedPageBreak/>
        <w:t xml:space="preserve">(збірки “З чужого поля”, “Зів’яле листя”, прозові твори “Захар Беркут”, “Борислав сміється” та багато інших). Крім згаданих варто виділити ще П .Грабовського, Ю. Федьковича, С. Руданського, Л. Глібова, у другій половині ХІХ ст. починали свою діяльність Леся Українка, М. Коцюбинський, О. Кобилянська. </w:t>
      </w:r>
    </w:p>
    <w:p w14:paraId="5179E718" w14:textId="77777777" w:rsidR="00353A8D"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Друга половина ХІХ ст. – період становлення української драматургії і театру. Значний внесок у драматургію зробили М. Кропивницький (понад 40 п’єс), М. Старицький (25 п’єс), І. Карпенко-Карий (понад 25 п’єс). М. Кропивницький і М .Старицький є також творцями українського професійного театру. У 1882 р. М. Кропивницький створив першу українську професійну трупу у м .Єлисаветграді. У серпні 1883 р. під час гастролей у Києві вона об’єдналася з аматорською </w:t>
      </w:r>
      <w:proofErr w:type="spellStart"/>
      <w:r w:rsidRPr="002E5180">
        <w:rPr>
          <w:rFonts w:ascii="Times New Roman" w:hAnsi="Times New Roman" w:cs="Times New Roman"/>
          <w:sz w:val="28"/>
          <w:szCs w:val="28"/>
        </w:rPr>
        <w:t>трупою</w:t>
      </w:r>
      <w:proofErr w:type="spellEnd"/>
      <w:r w:rsidRPr="002E5180">
        <w:rPr>
          <w:rFonts w:ascii="Times New Roman" w:hAnsi="Times New Roman" w:cs="Times New Roman"/>
          <w:sz w:val="28"/>
          <w:szCs w:val="28"/>
        </w:rPr>
        <w:t xml:space="preserve"> М. Старицького. У цьому колективі працювали такі талановиті актори, як М. Заньковецька, М. Садовський і П. Саксаганський – обидва рідні брати </w:t>
      </w:r>
      <w:proofErr w:type="spellStart"/>
      <w:r w:rsidRPr="002E5180">
        <w:rPr>
          <w:rFonts w:ascii="Times New Roman" w:hAnsi="Times New Roman" w:cs="Times New Roman"/>
          <w:sz w:val="28"/>
          <w:szCs w:val="28"/>
        </w:rPr>
        <w:t>І.Карпенка</w:t>
      </w:r>
      <w:proofErr w:type="spellEnd"/>
      <w:r w:rsidRPr="002E5180">
        <w:rPr>
          <w:rFonts w:ascii="Times New Roman" w:hAnsi="Times New Roman" w:cs="Times New Roman"/>
          <w:sz w:val="28"/>
          <w:szCs w:val="28"/>
        </w:rPr>
        <w:t xml:space="preserve">-Карого, який також блискуче виконував ролі. </w:t>
      </w:r>
    </w:p>
    <w:p w14:paraId="318B5128" w14:textId="77777777" w:rsidR="00353A8D"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В архітектурі утвердився еклектизм – змішання елементів різних стилів, почали використовуватись нові матеріали, зокрема, залізобетон. Видатними архітекторами були О. Бекетов (Харківське комерційне училище, земельний банк), О. </w:t>
      </w:r>
      <w:proofErr w:type="spellStart"/>
      <w:r w:rsidRPr="002E5180">
        <w:rPr>
          <w:rFonts w:ascii="Times New Roman" w:hAnsi="Times New Roman" w:cs="Times New Roman"/>
          <w:sz w:val="28"/>
          <w:szCs w:val="28"/>
        </w:rPr>
        <w:t>Захаревич</w:t>
      </w:r>
      <w:proofErr w:type="spellEnd"/>
      <w:r w:rsidRPr="002E5180">
        <w:rPr>
          <w:rFonts w:ascii="Times New Roman" w:hAnsi="Times New Roman" w:cs="Times New Roman"/>
          <w:sz w:val="28"/>
          <w:szCs w:val="28"/>
        </w:rPr>
        <w:t xml:space="preserve"> (будинок Львівської політехніки), З .</w:t>
      </w:r>
      <w:proofErr w:type="spellStart"/>
      <w:r w:rsidRPr="002E5180">
        <w:rPr>
          <w:rFonts w:ascii="Times New Roman" w:hAnsi="Times New Roman" w:cs="Times New Roman"/>
          <w:sz w:val="28"/>
          <w:szCs w:val="28"/>
        </w:rPr>
        <w:t>Горголевський</w:t>
      </w:r>
      <w:proofErr w:type="spellEnd"/>
      <w:r w:rsidRPr="002E5180">
        <w:rPr>
          <w:rFonts w:ascii="Times New Roman" w:hAnsi="Times New Roman" w:cs="Times New Roman"/>
          <w:sz w:val="28"/>
          <w:szCs w:val="28"/>
        </w:rPr>
        <w:t xml:space="preserve"> (оперний театр у Львові). </w:t>
      </w:r>
    </w:p>
    <w:p w14:paraId="6DA61A02" w14:textId="77777777" w:rsidR="00353A8D"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 xml:space="preserve">Живопис другої половини ХІХ ст. представлений такими майстрами як: С .Васильківський (близько 3 тис. різножанрових </w:t>
      </w:r>
      <w:proofErr w:type="spellStart"/>
      <w:r w:rsidRPr="002E5180">
        <w:rPr>
          <w:rFonts w:ascii="Times New Roman" w:hAnsi="Times New Roman" w:cs="Times New Roman"/>
          <w:sz w:val="28"/>
          <w:szCs w:val="28"/>
        </w:rPr>
        <w:t>полотен</w:t>
      </w:r>
      <w:proofErr w:type="spellEnd"/>
      <w:r w:rsidRPr="002E5180">
        <w:rPr>
          <w:rFonts w:ascii="Times New Roman" w:hAnsi="Times New Roman" w:cs="Times New Roman"/>
          <w:sz w:val="28"/>
          <w:szCs w:val="28"/>
        </w:rPr>
        <w:t xml:space="preserve">), Т. </w:t>
      </w:r>
      <w:proofErr w:type="spellStart"/>
      <w:r w:rsidRPr="002E5180">
        <w:rPr>
          <w:rFonts w:ascii="Times New Roman" w:hAnsi="Times New Roman" w:cs="Times New Roman"/>
          <w:sz w:val="28"/>
          <w:szCs w:val="28"/>
        </w:rPr>
        <w:t>Копистинський</w:t>
      </w:r>
      <w:proofErr w:type="spellEnd"/>
      <w:r w:rsidRPr="002E5180">
        <w:rPr>
          <w:rFonts w:ascii="Times New Roman" w:hAnsi="Times New Roman" w:cs="Times New Roman"/>
          <w:sz w:val="28"/>
          <w:szCs w:val="28"/>
        </w:rPr>
        <w:t xml:space="preserve"> (картини з життя галицького селянства); К. </w:t>
      </w:r>
      <w:proofErr w:type="spellStart"/>
      <w:r w:rsidRPr="002E5180">
        <w:rPr>
          <w:rFonts w:ascii="Times New Roman" w:hAnsi="Times New Roman" w:cs="Times New Roman"/>
          <w:sz w:val="28"/>
          <w:szCs w:val="28"/>
        </w:rPr>
        <w:t>Трутовський</w:t>
      </w:r>
      <w:proofErr w:type="spellEnd"/>
      <w:r w:rsidRPr="002E5180">
        <w:rPr>
          <w:rFonts w:ascii="Times New Roman" w:hAnsi="Times New Roman" w:cs="Times New Roman"/>
          <w:sz w:val="28"/>
          <w:szCs w:val="28"/>
        </w:rPr>
        <w:t xml:space="preserve"> (пейзажі, побутові картини); М. Пимоненко (картини з сільського побуту). </w:t>
      </w:r>
    </w:p>
    <w:p w14:paraId="052356A5" w14:textId="77777777" w:rsidR="00353A8D"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У галузі музичного мистецтва другої половини ХІХ ст. помітним явищем було створення першої української опери – “Запорожець за Дунаєм” С. Гулака</w:t>
      </w:r>
      <w:r w:rsidR="000D4B09">
        <w:rPr>
          <w:rFonts w:ascii="Times New Roman" w:hAnsi="Times New Roman" w:cs="Times New Roman"/>
          <w:sz w:val="28"/>
          <w:szCs w:val="28"/>
        </w:rPr>
        <w:t>-</w:t>
      </w:r>
      <w:proofErr w:type="spellStart"/>
      <w:r w:rsidRPr="002E5180">
        <w:rPr>
          <w:rFonts w:ascii="Times New Roman" w:hAnsi="Times New Roman" w:cs="Times New Roman"/>
          <w:sz w:val="28"/>
          <w:szCs w:val="28"/>
        </w:rPr>
        <w:t>Артемовського</w:t>
      </w:r>
      <w:proofErr w:type="spellEnd"/>
      <w:r w:rsidRPr="002E5180">
        <w:rPr>
          <w:rFonts w:ascii="Times New Roman" w:hAnsi="Times New Roman" w:cs="Times New Roman"/>
          <w:sz w:val="28"/>
          <w:szCs w:val="28"/>
        </w:rPr>
        <w:t xml:space="preserve"> (1863). У цей період українська музика виокремлюється із загальноросійської і набуває властивого їй національного колориту. У цьому контексті важливе значення мала діяльність М.В.</w:t>
      </w:r>
      <w:r w:rsidR="000D4B09">
        <w:rPr>
          <w:rFonts w:ascii="Times New Roman" w:hAnsi="Times New Roman" w:cs="Times New Roman"/>
          <w:sz w:val="28"/>
          <w:szCs w:val="28"/>
        </w:rPr>
        <w:t xml:space="preserve"> </w:t>
      </w:r>
      <w:r w:rsidRPr="002E5180">
        <w:rPr>
          <w:rFonts w:ascii="Times New Roman" w:hAnsi="Times New Roman" w:cs="Times New Roman"/>
          <w:sz w:val="28"/>
          <w:szCs w:val="28"/>
        </w:rPr>
        <w:t>Лисенка – основоположника української класичної музики. У його доробку обробка близько 600 зразків українських народних пісень, 80 творів на шевченківську тематику, опери “Тарас Бульба”, “Різдвяна ніч” та багато інших. Значний внесок у розвиток української музичної культури другої половини ХІХ ст. зробили також П.</w:t>
      </w:r>
      <w:r w:rsidR="000D4B09">
        <w:rPr>
          <w:rFonts w:ascii="Times New Roman" w:hAnsi="Times New Roman" w:cs="Times New Roman"/>
          <w:sz w:val="28"/>
          <w:szCs w:val="28"/>
        </w:rPr>
        <w:t xml:space="preserve"> </w:t>
      </w:r>
      <w:r w:rsidRPr="002E5180">
        <w:rPr>
          <w:rFonts w:ascii="Times New Roman" w:hAnsi="Times New Roman" w:cs="Times New Roman"/>
          <w:sz w:val="28"/>
          <w:szCs w:val="28"/>
        </w:rPr>
        <w:t>Сокальський, П.</w:t>
      </w:r>
      <w:r w:rsidR="000D4B09">
        <w:rPr>
          <w:rFonts w:ascii="Times New Roman" w:hAnsi="Times New Roman" w:cs="Times New Roman"/>
          <w:sz w:val="28"/>
          <w:szCs w:val="28"/>
        </w:rPr>
        <w:t xml:space="preserve"> </w:t>
      </w:r>
      <w:r w:rsidRPr="002E5180">
        <w:rPr>
          <w:rFonts w:ascii="Times New Roman" w:hAnsi="Times New Roman" w:cs="Times New Roman"/>
          <w:sz w:val="28"/>
          <w:szCs w:val="28"/>
        </w:rPr>
        <w:t>Ніщинський, М.</w:t>
      </w:r>
      <w:r w:rsidR="000D4B09">
        <w:rPr>
          <w:rFonts w:ascii="Times New Roman" w:hAnsi="Times New Roman" w:cs="Times New Roman"/>
          <w:sz w:val="28"/>
          <w:szCs w:val="28"/>
        </w:rPr>
        <w:t xml:space="preserve"> </w:t>
      </w:r>
      <w:r w:rsidRPr="002E5180">
        <w:rPr>
          <w:rFonts w:ascii="Times New Roman" w:hAnsi="Times New Roman" w:cs="Times New Roman"/>
          <w:sz w:val="28"/>
          <w:szCs w:val="28"/>
        </w:rPr>
        <w:t>Вербицький.</w:t>
      </w:r>
    </w:p>
    <w:p w14:paraId="326C55C7" w14:textId="37BFB0E3" w:rsidR="004A4631" w:rsidRPr="002E5180" w:rsidRDefault="004A4631" w:rsidP="000D4B09">
      <w:pPr>
        <w:spacing w:after="0"/>
        <w:ind w:firstLine="709"/>
        <w:jc w:val="both"/>
        <w:rPr>
          <w:rFonts w:ascii="Times New Roman" w:hAnsi="Times New Roman" w:cs="Times New Roman"/>
          <w:sz w:val="28"/>
          <w:szCs w:val="28"/>
        </w:rPr>
      </w:pPr>
      <w:r w:rsidRPr="002E5180">
        <w:rPr>
          <w:rFonts w:ascii="Times New Roman" w:hAnsi="Times New Roman" w:cs="Times New Roman"/>
          <w:sz w:val="28"/>
          <w:szCs w:val="28"/>
        </w:rPr>
        <w:t>Загалом, не зважаючи на складні умови розвитку, українська культура другої половини ХІХ ст. досягла високого рівня й українські митці своїми високохудожніми творами поповнили скарбницю світової культури.</w:t>
      </w:r>
    </w:p>
    <w:sectPr w:rsidR="004A4631" w:rsidRPr="002E51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C046B"/>
    <w:multiLevelType w:val="hybridMultilevel"/>
    <w:tmpl w:val="E62231EC"/>
    <w:lvl w:ilvl="0" w:tplc="1BBA2670">
      <w:start w:val="1"/>
      <w:numFmt w:val="decimal"/>
      <w:lvlText w:val="%1."/>
      <w:lvlJc w:val="left"/>
      <w:pPr>
        <w:ind w:left="467" w:hanging="360"/>
      </w:pPr>
    </w:lvl>
    <w:lvl w:ilvl="1" w:tplc="04220019">
      <w:start w:val="1"/>
      <w:numFmt w:val="lowerLetter"/>
      <w:lvlText w:val="%2."/>
      <w:lvlJc w:val="left"/>
      <w:pPr>
        <w:ind w:left="1187" w:hanging="360"/>
      </w:pPr>
    </w:lvl>
    <w:lvl w:ilvl="2" w:tplc="0422001B">
      <w:start w:val="1"/>
      <w:numFmt w:val="lowerRoman"/>
      <w:lvlText w:val="%3."/>
      <w:lvlJc w:val="right"/>
      <w:pPr>
        <w:ind w:left="1907" w:hanging="180"/>
      </w:pPr>
    </w:lvl>
    <w:lvl w:ilvl="3" w:tplc="0422000F">
      <w:start w:val="1"/>
      <w:numFmt w:val="decimal"/>
      <w:lvlText w:val="%4."/>
      <w:lvlJc w:val="left"/>
      <w:pPr>
        <w:ind w:left="2627" w:hanging="360"/>
      </w:pPr>
    </w:lvl>
    <w:lvl w:ilvl="4" w:tplc="04220019">
      <w:start w:val="1"/>
      <w:numFmt w:val="lowerLetter"/>
      <w:lvlText w:val="%5."/>
      <w:lvlJc w:val="left"/>
      <w:pPr>
        <w:ind w:left="3347" w:hanging="360"/>
      </w:pPr>
    </w:lvl>
    <w:lvl w:ilvl="5" w:tplc="0422001B">
      <w:start w:val="1"/>
      <w:numFmt w:val="lowerRoman"/>
      <w:lvlText w:val="%6."/>
      <w:lvlJc w:val="right"/>
      <w:pPr>
        <w:ind w:left="4067" w:hanging="180"/>
      </w:pPr>
    </w:lvl>
    <w:lvl w:ilvl="6" w:tplc="0422000F">
      <w:start w:val="1"/>
      <w:numFmt w:val="decimal"/>
      <w:lvlText w:val="%7."/>
      <w:lvlJc w:val="left"/>
      <w:pPr>
        <w:ind w:left="4787" w:hanging="360"/>
      </w:pPr>
    </w:lvl>
    <w:lvl w:ilvl="7" w:tplc="04220019">
      <w:start w:val="1"/>
      <w:numFmt w:val="lowerLetter"/>
      <w:lvlText w:val="%8."/>
      <w:lvlJc w:val="left"/>
      <w:pPr>
        <w:ind w:left="5507" w:hanging="360"/>
      </w:pPr>
    </w:lvl>
    <w:lvl w:ilvl="8" w:tplc="0422001B">
      <w:start w:val="1"/>
      <w:numFmt w:val="lowerRoman"/>
      <w:lvlText w:val="%9."/>
      <w:lvlJc w:val="right"/>
      <w:pPr>
        <w:ind w:left="6227" w:hanging="180"/>
      </w:pPr>
    </w:lvl>
  </w:abstractNum>
  <w:abstractNum w:abstractNumId="1" w15:restartNumberingAfterBreak="0">
    <w:nsid w:val="59F730C1"/>
    <w:multiLevelType w:val="hybridMultilevel"/>
    <w:tmpl w:val="F3C69B10"/>
    <w:lvl w:ilvl="0" w:tplc="FBBAABA8">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9"/>
    <w:rsid w:val="00036E92"/>
    <w:rsid w:val="00045FE1"/>
    <w:rsid w:val="00081612"/>
    <w:rsid w:val="000D4B09"/>
    <w:rsid w:val="0010180F"/>
    <w:rsid w:val="00294F79"/>
    <w:rsid w:val="002E5180"/>
    <w:rsid w:val="00353A8D"/>
    <w:rsid w:val="004A4631"/>
    <w:rsid w:val="004B4D3C"/>
    <w:rsid w:val="0079360E"/>
    <w:rsid w:val="00A01A8F"/>
    <w:rsid w:val="00A45114"/>
    <w:rsid w:val="00B45BB8"/>
    <w:rsid w:val="00B91EF1"/>
    <w:rsid w:val="00CA6856"/>
    <w:rsid w:val="00DF0D72"/>
    <w:rsid w:val="00EF10A3"/>
    <w:rsid w:val="00FC0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9E58"/>
  <w15:chartTrackingRefBased/>
  <w15:docId w15:val="{25F4DED1-F228-44A2-9E3E-28400627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4"/>
    <w:uiPriority w:val="99"/>
    <w:locked/>
    <w:rsid w:val="002E5180"/>
    <w:rPr>
      <w:rFonts w:ascii="Times New Roman" w:eastAsia="Times New Roman" w:hAnsi="Times New Roman" w:cs="Times New Roman"/>
    </w:rPr>
  </w:style>
  <w:style w:type="paragraph" w:styleId="a4">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3"/>
    <w:uiPriority w:val="99"/>
    <w:qFormat/>
    <w:rsid w:val="002E5180"/>
    <w:pPr>
      <w:spacing w:after="200" w:line="276" w:lineRule="auto"/>
      <w:ind w:left="622"/>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3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19536</Words>
  <Characters>11137</Characters>
  <Application>Microsoft Office Word</Application>
  <DocSecurity>0</DocSecurity>
  <Lines>92</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10</cp:revision>
  <dcterms:created xsi:type="dcterms:W3CDTF">2022-12-15T11:27:00Z</dcterms:created>
  <dcterms:modified xsi:type="dcterms:W3CDTF">2022-12-25T17:43:00Z</dcterms:modified>
</cp:coreProperties>
</file>