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center"/>
        <w:rPr>
          <w:i/>
          <w:sz w:val="28"/>
          <w:szCs w:val="32"/>
          <w:lang w:val="en-US"/>
        </w:rPr>
      </w:pPr>
      <w:r w:rsidRPr="00AC4603">
        <w:rPr>
          <w:i/>
          <w:sz w:val="28"/>
          <w:szCs w:val="32"/>
          <w:lang w:val="uk-UA"/>
        </w:rPr>
        <w:t xml:space="preserve">Контрольна робота №1. 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C4603">
        <w:rPr>
          <w:i/>
          <w:sz w:val="28"/>
          <w:szCs w:val="32"/>
          <w:lang w:val="uk-UA"/>
        </w:rPr>
        <w:t xml:space="preserve"> </w:t>
      </w:r>
      <w:r w:rsidRPr="00AC4603">
        <w:rPr>
          <w:i/>
          <w:sz w:val="28"/>
          <w:szCs w:val="28"/>
          <w:lang w:val="uk-UA"/>
        </w:rPr>
        <w:t>Поняття норми в сучасній українській літературній мові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І варіант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Завдання 1-8 мають по чотири варіанти відповіді, серед яких лише один правильний. Потрібно вибрати правильний варіант відповіді.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Позначте, у якому словнику з’ясовано походження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тлумачному;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етимологічному;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морфологічному;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історичному.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Позначте, у якому словнику з’ясовано значення слів, що вживаються в певній місцевості: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діалектному;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термінологічному;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історичному;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фразеологічному.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Позначте, який словник пояснює значення іншомовних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перекладний;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тлумачний;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орфоепічний;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іншомовних слів.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Позначте, який словник подає особливості вимови та наголошення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орфографічний;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орфоепічний;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перекладний;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морфемний.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Позначте речення, у якому неправильно вжито слово «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приймати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Оля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приймала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асть у змаганнях з гімнастики.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 Допоможіть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прийняти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прав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ильне рішення.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Вам необхідно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терміново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</w:t>
      </w:r>
      <w:proofErr w:type="spellEnd"/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няти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заяву від Петрика Ігоря.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Прийміть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ші щирі побажання з нагоди свята.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6. Позначте рядок, у якому подано правильне тлумачення фразеологічного звороту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комарика придушити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завдати лиха;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міцно заснути;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почервоніти;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мати досвід.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Позначте рядок, у якому подано пароніми: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перст, чоло;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хижа ласка — материнська ласка;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пам’ятник — пам’ятка;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втекти, п’ятами накивати.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Позначте рядок, у якому подано синонім до фразеологізму </w:t>
      </w:r>
      <w:r w:rsidRPr="00AA52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майстри на всі руки</w:t>
      </w:r>
      <w:r w:rsidRPr="00AA5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собаку з’їсти;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крутитися як білка в колесі;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нестися вгору;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і швець, і жнець, і на дуді грець.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 завданнях 9-10 треба встановити відповідність: до кожного рядка, позначеного буквою, дібрати відповідник, позначений цифрою.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Установіть відповідність між фразеологізмами та правильним тлумаченням їх.</w:t>
      </w:r>
    </w:p>
    <w:tbl>
      <w:tblPr>
        <w:tblW w:w="8864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394"/>
      </w:tblGrid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Тремтіти від холоду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 Мов грім з ясного неба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Несподівано з’явитися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 Знімати шкуру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Визискувати когось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 Одним миром мазані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 Почувати себе ніяково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 Дзвонити зубами</w:t>
            </w:r>
            <w:r w:rsidRPr="00AA52F3">
              <w:rPr>
                <w:rFonts w:ascii="Times New Roman" w:eastAsia="Times New Roman" w:hAnsi="Times New Roman" w:cs="Times New Roman"/>
                <w:noProof/>
                <w:color w:val="20B2AA"/>
                <w:sz w:val="28"/>
                <w:szCs w:val="28"/>
                <w:lang w:val="uk-UA" w:eastAsia="ru-RU"/>
              </w:rPr>
              <mc:AlternateContent>
                <mc:Choice Requires="wps">
                  <w:drawing>
                    <wp:inline distT="0" distB="0" distL="0" distR="0" wp14:anchorId="68A4ADCF" wp14:editId="10ACD171">
                      <wp:extent cx="304800" cy="304800"/>
                      <wp:effectExtent l="0" t="0" r="0" b="0"/>
                      <wp:docPr id="2" name="AutoShape 3" descr="https://optad360.mgr.consensu.org/icons/branding-ads.svg">
                        <a:hlinkClick xmlns:a="http://schemas.openxmlformats.org/drawingml/2006/main" r:id="rId5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optad360.mgr.consensu.org/icons/branding-ads.svg" href="https://en.optad360.com/?utm_source=branding&amp;utm_medium=display&amp;utm_campaign=subject.com.u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A52F3" w:rsidRPr="00AA52F3" w:rsidRDefault="00AA52F3" w:rsidP="00AA52F3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 Ні в тих ні в сих</w:t>
            </w:r>
          </w:p>
        </w:tc>
      </w:tr>
    </w:tbl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 Установіть відповідність між фразеологізмами-антонімами.</w:t>
      </w:r>
    </w:p>
    <w:tbl>
      <w:tblPr>
        <w:tblW w:w="8864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394"/>
      </w:tblGrid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Хоч греблю гати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 Хоч конем грай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Ридма ридати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 Смішки справляти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Як білка в колесі крутиться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 Мастити п’яти салом Г Як кіт </w:t>
            </w: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наплакав</w:t>
            </w:r>
          </w:p>
        </w:tc>
      </w:tr>
      <w:tr w:rsidR="00AA52F3" w:rsidRPr="00AA52F3" w:rsidTr="00AA52F3">
        <w:tc>
          <w:tcPr>
            <w:tcW w:w="44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 Курці ступити ніде</w:t>
            </w:r>
          </w:p>
        </w:tc>
        <w:tc>
          <w:tcPr>
            <w:tcW w:w="439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 Працювати як мокре горить</w:t>
            </w:r>
          </w:p>
        </w:tc>
      </w:tr>
    </w:tbl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Завдання 11 та 12 — завдання відкритої форми.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Зредагуйте речення.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На високому рівні пройшли весняні канікули. 2. Поет завоював світову вдячність. 3. Повість Панаса Мирного «Хіба ревуть воли, як ясла повні» була видана в Женеві. 4. Я тепер дивлюся на це все другими очима.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 Складіть і запишіть речення з поданими фразеологізмами (поясніть їхнє значення):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Товкти воду в ступі, піймати </w:t>
      </w:r>
      <w:proofErr w:type="spellStart"/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облизня</w:t>
      </w:r>
      <w:proofErr w:type="spellEnd"/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ІІ варіант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Завдання 1-8 мають по чотири варіанти відповіді, серед яких лише один правильний. Потрібно вибрати правильний варіант відповіді.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Позначте, у якому словнику з’ясовано походження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термінологічному;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тлумачному;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етимологічному;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діалектному.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Позначте, у якому словнику з’ясовано значення слів, що вживаються в певній місцевості: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фразеологічному;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морфемному;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термінологічному;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діалектному.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Позначте, який словник пояснює значення іншомовних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орфоепічний;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іншомовних слів;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перекладний;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тлумачний.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Позначте, який словник подає особливості вимови та наголошення слів: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орфоепічний;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 орфографічний;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морфемний;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перекладний.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Позначте речення, у якому неправильно вжито слово «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приймати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Сергію,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швидше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приймай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Юрко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приймає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часть у змаганнях з футболу.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Юнаки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приймають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рисягу на вірність Батьківщині.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Їв би очима, та душа не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приймає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Позначте рядок, у якому подано правильне тлумачення фразеологічного звороту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зуби протерти на чомусь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голодувати;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мати досвід;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завдати лиха;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накинутись з докором на когось.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Позначте рядок, у якому подано пароніми: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міх борошна — ковальський міх;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 уявити — уславити;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військовий — воєнний;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горизонт, небокрай.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Позначте рядок, у якому подано синонім до фразеологізму </w:t>
      </w: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кривити душею</w:t>
      </w: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голову закрутити;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 ходити на 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поводку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крутити хвостом;</w:t>
      </w:r>
    </w:p>
    <w:p w:rsidR="00AA52F3" w:rsidRPr="00AA52F3" w:rsidRDefault="00AA52F3" w:rsidP="00AA5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дати перцю.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 завданнях 9-10 треба встановити відповідність: до кожного рядка, позначеного буквою, дібрати відповідник, позначений цифрою.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Установіть відповідність між фразеологізмами та їхнім правильним тлумаченням.</w:t>
      </w:r>
    </w:p>
    <w:tbl>
      <w:tblPr>
        <w:tblW w:w="9431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1"/>
        <w:gridCol w:w="4820"/>
      </w:tblGrid>
      <w:tr w:rsidR="00AA52F3" w:rsidRPr="00AA52F3" w:rsidTr="00AA52F3">
        <w:tc>
          <w:tcPr>
            <w:tcW w:w="4611" w:type="dxa"/>
            <w:vMerge w:val="restar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Безрідний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Перемогти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Покарати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 Посваритися</w:t>
            </w: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 Показати, де раки зимують</w:t>
            </w:r>
          </w:p>
        </w:tc>
      </w:tr>
      <w:tr w:rsidR="00AA52F3" w:rsidRPr="00AA52F3" w:rsidTr="00AA52F3">
        <w:tc>
          <w:tcPr>
            <w:tcW w:w="4611" w:type="dxa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 Розбити глека</w:t>
            </w:r>
          </w:p>
        </w:tc>
      </w:tr>
      <w:tr w:rsidR="00AA52F3" w:rsidRPr="00AA52F3" w:rsidTr="00AA52F3">
        <w:tc>
          <w:tcPr>
            <w:tcW w:w="4611" w:type="dxa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 Хоч свічки ліпи</w:t>
            </w:r>
          </w:p>
        </w:tc>
      </w:tr>
      <w:tr w:rsidR="00AA52F3" w:rsidRPr="00AA52F3" w:rsidTr="00AA52F3">
        <w:tc>
          <w:tcPr>
            <w:tcW w:w="4611" w:type="dxa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 Як горох при дорозі</w:t>
            </w:r>
          </w:p>
        </w:tc>
      </w:tr>
      <w:tr w:rsidR="00AA52F3" w:rsidRPr="00AA52F3" w:rsidTr="00AA52F3">
        <w:tc>
          <w:tcPr>
            <w:tcW w:w="4611" w:type="dxa"/>
            <w:vMerge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 Узяти гору</w:t>
            </w:r>
          </w:p>
        </w:tc>
      </w:tr>
    </w:tbl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10. Установіть відповідність між фразеологізмами-антонімами.</w:t>
      </w:r>
    </w:p>
    <w:tbl>
      <w:tblPr>
        <w:tblW w:w="9431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1"/>
        <w:gridCol w:w="4820"/>
      </w:tblGrid>
      <w:tr w:rsidR="00AA52F3" w:rsidRPr="00AA52F3" w:rsidTr="00AA52F3">
        <w:tc>
          <w:tcPr>
            <w:tcW w:w="461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Як з хреста знятий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Падати зі сміху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 У чорта на куличках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 Битися як риба об лід</w:t>
            </w:r>
          </w:p>
        </w:tc>
        <w:tc>
          <w:tcPr>
            <w:tcW w:w="48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 Як вареник у маслі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 Бублика з’їси, поки кругом обійдеш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 Ревма ревіти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 З доброго дива</w:t>
            </w:r>
          </w:p>
          <w:p w:rsidR="00AA52F3" w:rsidRPr="00AA52F3" w:rsidRDefault="00AA52F3" w:rsidP="00AA5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A5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 Як рукою подати</w:t>
            </w:r>
          </w:p>
        </w:tc>
      </w:tr>
    </w:tbl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Завдання 11 та 12 — завдання відкритої форми.</w:t>
      </w:r>
      <w:bookmarkStart w:id="0" w:name="_GoBack"/>
      <w:bookmarkEnd w:id="0"/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Відредагуйте речення.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На зустріч прийшли відомі поети та письменники. 2. У романі І. Нечуя-Левицького «</w:t>
      </w:r>
      <w:proofErr w:type="spellStart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Кайдашева</w:t>
      </w:r>
      <w:proofErr w:type="spellEnd"/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сім’я» зображено події, що відбувалися після скасування кріпосного права. 3. У другий раз ми продовжимо цю розмову. 4. Кожний літературний персонаж має свої індивідуальні риси.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 Складіть і запишіть речення з поданими фразеологізмами (поясніть їхнє значення).</w:t>
      </w:r>
    </w:p>
    <w:p w:rsidR="00AA52F3" w:rsidRPr="00AA52F3" w:rsidRDefault="00AA52F3" w:rsidP="00AA52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5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Стригти під один гребінець; виносити сміття з хати.</w:t>
      </w:r>
    </w:p>
    <w:p w:rsidR="00FF5313" w:rsidRPr="00AA52F3" w:rsidRDefault="00FF53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F5313" w:rsidRPr="00AA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F3"/>
    <w:rsid w:val="00AA52F3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optad360.com/?utm_source=branding&amp;utm_medium=display&amp;utm_campaign=subjec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2023-01-19T18:29:00Z</dcterms:created>
  <dcterms:modified xsi:type="dcterms:W3CDTF">2023-01-19T18:36:00Z</dcterms:modified>
</cp:coreProperties>
</file>