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53" w:rsidRDefault="00A75900" w:rsidP="00A75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Орієнтовний перелік питань з мікроекономіки</w:t>
      </w:r>
    </w:p>
    <w:p w:rsidR="00A75900" w:rsidRPr="00ED6234" w:rsidRDefault="00A75900" w:rsidP="00ED6234">
      <w:pPr>
        <w:pStyle w:val="a3"/>
        <w:numPr>
          <w:ilvl w:val="0"/>
          <w:numId w:val="2"/>
        </w:numPr>
        <w:tabs>
          <w:tab w:val="left" w:pos="760"/>
        </w:tabs>
        <w:spacing w:before="120" w:line="322" w:lineRule="exact"/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Предмет мікроекономіки та її становлення як окремої</w:t>
      </w:r>
      <w:r w:rsidRPr="00ED6234">
        <w:rPr>
          <w:spacing w:val="-3"/>
          <w:sz w:val="24"/>
          <w:szCs w:val="24"/>
        </w:rPr>
        <w:t xml:space="preserve"> </w:t>
      </w:r>
      <w:r w:rsidR="00ED6234">
        <w:rPr>
          <w:sz w:val="24"/>
          <w:szCs w:val="24"/>
        </w:rPr>
        <w:t xml:space="preserve">дисципліни. </w:t>
      </w:r>
      <w:r w:rsidRPr="00ED6234">
        <w:rPr>
          <w:sz w:val="24"/>
          <w:szCs w:val="24"/>
        </w:rPr>
        <w:t>Методи мікроекономічних</w:t>
      </w:r>
      <w:r w:rsidRPr="00ED6234">
        <w:rPr>
          <w:spacing w:val="2"/>
          <w:sz w:val="24"/>
          <w:szCs w:val="24"/>
        </w:rPr>
        <w:t xml:space="preserve"> </w:t>
      </w:r>
      <w:r w:rsidRPr="00ED6234">
        <w:rPr>
          <w:sz w:val="24"/>
          <w:szCs w:val="24"/>
        </w:rPr>
        <w:t>досліджень.</w:t>
      </w:r>
    </w:p>
    <w:p w:rsidR="00A75900" w:rsidRPr="00ED6234" w:rsidRDefault="00A75900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Альтернативна вартість та проблеми вибору.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Закон попиту. Нецінові фактори зміни попиту.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Закон пропозиції, нецінові фактори її зміни.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Ринкова рівновага та її характеристика.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Цінова еластичність попиту і пропозиції та її фактори.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Еластичність попиту за доходом та перехресна еластичність.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Корисність та її види.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Крива байдужості, гранична норма заміщення.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Бюджетна лінія та вибір споживача.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Економічна природа та теорія фірми (підприємства).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Витрати фірми, коротко – і довгостроковий період.</w:t>
      </w:r>
    </w:p>
    <w:p w:rsidR="00A75900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Дохід та прибуток фірми.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Теорія виробництва: фактори виробництва та виробнича функція.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 xml:space="preserve">Довгостроковий період: </w:t>
      </w:r>
      <w:proofErr w:type="spellStart"/>
      <w:r w:rsidRPr="00ED6234">
        <w:rPr>
          <w:sz w:val="24"/>
          <w:szCs w:val="24"/>
        </w:rPr>
        <w:t>ізокванта</w:t>
      </w:r>
      <w:proofErr w:type="spellEnd"/>
      <w:r w:rsidRPr="00ED6234">
        <w:rPr>
          <w:sz w:val="24"/>
          <w:szCs w:val="24"/>
        </w:rPr>
        <w:t xml:space="preserve"> та </w:t>
      </w:r>
      <w:proofErr w:type="spellStart"/>
      <w:r w:rsidRPr="00ED6234">
        <w:rPr>
          <w:sz w:val="24"/>
          <w:szCs w:val="24"/>
        </w:rPr>
        <w:t>ізокоста</w:t>
      </w:r>
      <w:proofErr w:type="spellEnd"/>
      <w:r w:rsidRPr="00ED6234">
        <w:rPr>
          <w:sz w:val="24"/>
          <w:szCs w:val="24"/>
        </w:rPr>
        <w:t>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Рівновага виробника.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Економічні витрати та їх класифікація.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Витрати в короткостроковому періоді.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Витрати в довгостроковому періоді. Вибір масштабу виробничої діяльності.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Чиста монополія: види і характеристика.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Визначення ціни та обсягу виробництва в умовах чистої монополії.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Цінова дискримінація за умов чистої монополії.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Державне регулювання цін природних монополістів.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Ефективність монополій: аргументи “за” і “проти”.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Олігополія: види і характеристика.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Некооперативна поведінка підприємств за умов олігополії: “цінова” війн</w:t>
      </w:r>
      <w:r w:rsidRPr="00ED6234">
        <w:rPr>
          <w:sz w:val="24"/>
          <w:szCs w:val="24"/>
        </w:rPr>
        <w:t>а, модель Курно.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Ламана крива попиту та відносна стабільність ціни на ринку олігополії.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Картель та таємна змова.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Ціноутворення за принципом “витрати плюс”.</w:t>
      </w:r>
    </w:p>
    <w:p w:rsidR="00A75900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Антимонопольне регулювання діяльності підприємств.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Характеристика ринку монополістичної конкуренції.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Ціноутворення в короткостроковому і довгостроковому періоді.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Недоліки монополістичної конкуренції і нецінова конкуренція.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Попит на ресурс та його фактори.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Фактори зміни попиту на ресурс.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Фактори цінової еластичності попиту на ресурс.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Ставка зарплати та її види.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Характер кривої пропозиції праці.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Ставка зарплати на конкурентному ринку праці.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Профспілки та ставка зарплати.</w:t>
      </w:r>
      <w:bookmarkStart w:id="0" w:name="_GoBack"/>
      <w:bookmarkEnd w:id="0"/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Причини диференціації ставок зарплати.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Інвестиції в людський капітал.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Економічна рента та її види.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Капітал і позичковий відсоток.</w:t>
      </w:r>
    </w:p>
    <w:p w:rsidR="009A4E42" w:rsidRPr="00ED6234" w:rsidRDefault="009A4E42" w:rsidP="00ED6234">
      <w:pPr>
        <w:pStyle w:val="a3"/>
        <w:numPr>
          <w:ilvl w:val="0"/>
          <w:numId w:val="2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Економічний прибуток та його джерела.</w:t>
      </w:r>
    </w:p>
    <w:p w:rsidR="009A4E42" w:rsidRPr="00A75900" w:rsidRDefault="009A4E42" w:rsidP="00ED6234">
      <w:pPr>
        <w:pStyle w:val="a3"/>
        <w:tabs>
          <w:tab w:val="left" w:pos="760"/>
        </w:tabs>
        <w:ind w:left="1276" w:hanging="567"/>
        <w:rPr>
          <w:sz w:val="28"/>
        </w:rPr>
      </w:pPr>
    </w:p>
    <w:p w:rsidR="00A75900" w:rsidRPr="00A75900" w:rsidRDefault="00A75900" w:rsidP="00ED6234">
      <w:pPr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75900" w:rsidRPr="00A759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25CD9"/>
    <w:multiLevelType w:val="multilevel"/>
    <w:tmpl w:val="1AC67670"/>
    <w:lvl w:ilvl="0">
      <w:start w:val="1"/>
      <w:numFmt w:val="decimal"/>
      <w:lvlText w:val="%1"/>
      <w:lvlJc w:val="left"/>
      <w:pPr>
        <w:ind w:left="759" w:hanging="54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59" w:hanging="543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60" w:hanging="5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11" w:hanging="5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61" w:hanging="5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2" w:hanging="5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62" w:hanging="5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2" w:hanging="5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3" w:hanging="543"/>
      </w:pPr>
      <w:rPr>
        <w:rFonts w:hint="default"/>
        <w:lang w:val="uk-UA" w:eastAsia="en-US" w:bidi="ar-SA"/>
      </w:rPr>
    </w:lvl>
  </w:abstractNum>
  <w:abstractNum w:abstractNumId="1" w15:restartNumberingAfterBreak="0">
    <w:nsid w:val="508D042A"/>
    <w:multiLevelType w:val="hybridMultilevel"/>
    <w:tmpl w:val="B8AC1FD0"/>
    <w:lvl w:ilvl="0" w:tplc="0422000F">
      <w:start w:val="1"/>
      <w:numFmt w:val="decimal"/>
      <w:lvlText w:val="%1."/>
      <w:lvlJc w:val="left"/>
      <w:pPr>
        <w:ind w:left="1479" w:hanging="360"/>
      </w:pPr>
    </w:lvl>
    <w:lvl w:ilvl="1" w:tplc="04220019" w:tentative="1">
      <w:start w:val="1"/>
      <w:numFmt w:val="lowerLetter"/>
      <w:lvlText w:val="%2."/>
      <w:lvlJc w:val="left"/>
      <w:pPr>
        <w:ind w:left="2199" w:hanging="360"/>
      </w:pPr>
    </w:lvl>
    <w:lvl w:ilvl="2" w:tplc="0422001B" w:tentative="1">
      <w:start w:val="1"/>
      <w:numFmt w:val="lowerRoman"/>
      <w:lvlText w:val="%3."/>
      <w:lvlJc w:val="right"/>
      <w:pPr>
        <w:ind w:left="2919" w:hanging="180"/>
      </w:pPr>
    </w:lvl>
    <w:lvl w:ilvl="3" w:tplc="0422000F" w:tentative="1">
      <w:start w:val="1"/>
      <w:numFmt w:val="decimal"/>
      <w:lvlText w:val="%4."/>
      <w:lvlJc w:val="left"/>
      <w:pPr>
        <w:ind w:left="3639" w:hanging="360"/>
      </w:pPr>
    </w:lvl>
    <w:lvl w:ilvl="4" w:tplc="04220019" w:tentative="1">
      <w:start w:val="1"/>
      <w:numFmt w:val="lowerLetter"/>
      <w:lvlText w:val="%5."/>
      <w:lvlJc w:val="left"/>
      <w:pPr>
        <w:ind w:left="4359" w:hanging="360"/>
      </w:pPr>
    </w:lvl>
    <w:lvl w:ilvl="5" w:tplc="0422001B" w:tentative="1">
      <w:start w:val="1"/>
      <w:numFmt w:val="lowerRoman"/>
      <w:lvlText w:val="%6."/>
      <w:lvlJc w:val="right"/>
      <w:pPr>
        <w:ind w:left="5079" w:hanging="180"/>
      </w:pPr>
    </w:lvl>
    <w:lvl w:ilvl="6" w:tplc="0422000F" w:tentative="1">
      <w:start w:val="1"/>
      <w:numFmt w:val="decimal"/>
      <w:lvlText w:val="%7."/>
      <w:lvlJc w:val="left"/>
      <w:pPr>
        <w:ind w:left="5799" w:hanging="360"/>
      </w:pPr>
    </w:lvl>
    <w:lvl w:ilvl="7" w:tplc="04220019" w:tentative="1">
      <w:start w:val="1"/>
      <w:numFmt w:val="lowerLetter"/>
      <w:lvlText w:val="%8."/>
      <w:lvlJc w:val="left"/>
      <w:pPr>
        <w:ind w:left="6519" w:hanging="360"/>
      </w:pPr>
    </w:lvl>
    <w:lvl w:ilvl="8" w:tplc="0422001B" w:tentative="1">
      <w:start w:val="1"/>
      <w:numFmt w:val="lowerRoman"/>
      <w:lvlText w:val="%9."/>
      <w:lvlJc w:val="right"/>
      <w:pPr>
        <w:ind w:left="72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09"/>
    <w:rsid w:val="003E1A53"/>
    <w:rsid w:val="006E4209"/>
    <w:rsid w:val="009A4E42"/>
    <w:rsid w:val="00A75900"/>
    <w:rsid w:val="00E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561C"/>
  <w15:chartTrackingRefBased/>
  <w15:docId w15:val="{F4AD156D-AA29-4477-BE93-15006F56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4"/>
    <w:uiPriority w:val="1"/>
    <w:qFormat/>
    <w:rsid w:val="00A75900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3"/>
    <w:uiPriority w:val="1"/>
    <w:locked/>
    <w:rsid w:val="00A759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2022-12-12T05:27:00Z</dcterms:created>
  <dcterms:modified xsi:type="dcterms:W3CDTF">2022-12-12T05:49:00Z</dcterms:modified>
</cp:coreProperties>
</file>