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F4" w:rsidRPr="00D209F4" w:rsidRDefault="00D209F4" w:rsidP="00D209F4">
      <w:pPr>
        <w:pStyle w:val="a6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D209F4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Тема 3. Оборотні засоби підприємства</w:t>
      </w: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46DC8" w:rsidRP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46DC8" w:rsidRPr="00D209F4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</w:p>
    <w:p w:rsidR="00D209F4" w:rsidRP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</w:p>
    <w:p w:rsidR="00D209F4" w:rsidRP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Pr="00D209F4" w:rsidRDefault="00D209F4" w:rsidP="00D209F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D209F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1.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Поняття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фондів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b/>
          <w:sz w:val="24"/>
          <w:szCs w:val="24"/>
          <w:lang w:eastAsia="ru-RU"/>
        </w:rPr>
        <w:t>ідприємства</w:t>
      </w:r>
      <w:proofErr w:type="spellEnd"/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val="uk-UA" w:eastAsia="ru-RU"/>
        </w:rPr>
        <w:t>Для функціонування підприємства та здійснення виробничого процесу окрім основних фондів йому необхідні також предмети праці, з яких буде виготовлятися продукція, тобто підприємству необхідні так звані оборотні фонди.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споживається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в кожному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технологічному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циклі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переносить свою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До складу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запаси 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сировиною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іалами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незавершене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пройшли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періодів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ідготовку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освоєння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в поточному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але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періодах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Окр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вкладень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певних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капіталовкладень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. Разом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(рис </w:t>
      </w:r>
      <w:r w:rsidR="00D209F4"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Pr="00D209F4">
        <w:rPr>
          <w:rFonts w:ascii="Times New Roman" w:hAnsi="Times New Roman" w:cs="Times New Roman"/>
          <w:sz w:val="24"/>
          <w:szCs w:val="24"/>
          <w:lang w:eastAsia="ru-RU"/>
        </w:rPr>
        <w:t>.1).</w:t>
      </w:r>
    </w:p>
    <w:p w:rsidR="00B46DC8" w:rsidRPr="00B46DC8" w:rsidRDefault="00B46DC8" w:rsidP="00D2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B57CE3" wp14:editId="6884ECB3">
            <wp:extent cx="4883183" cy="2914650"/>
            <wp:effectExtent l="0" t="0" r="0" b="0"/>
            <wp:docPr id="1" name="Рисунок 1" descr="http://buklib.net/image/80/Ekonom_proizv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klib.net/image/80/Ekonom_proizv-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83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B46DC8" w:rsidRDefault="00B46DC8" w:rsidP="00D20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D2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.1 - Склад </w:t>
      </w:r>
      <w:proofErr w:type="spellStart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46DC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головні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класифікаційні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1) за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ісцем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роллю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2) за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джерелом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позикові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запозичені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привлеченньїе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3) за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нормовані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hAnsi="Times New Roman" w:cs="Times New Roman"/>
          <w:sz w:val="24"/>
          <w:szCs w:val="24"/>
          <w:lang w:eastAsia="ru-RU"/>
        </w:rPr>
        <w:t>ненормовані</w:t>
      </w:r>
      <w:proofErr w:type="spellEnd"/>
      <w:r w:rsidRPr="00D209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Pr="00D209F4" w:rsidRDefault="00D209F4" w:rsidP="00D209F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09F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2.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ефективності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209F4">
        <w:rPr>
          <w:rFonts w:ascii="Times New Roman" w:hAnsi="Times New Roman" w:cs="Times New Roman"/>
          <w:b/>
          <w:sz w:val="24"/>
          <w:szCs w:val="24"/>
        </w:rPr>
        <w:t>ідприємства</w:t>
      </w:r>
      <w:proofErr w:type="spellEnd"/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питанням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і у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фондами, є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максимального результату з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стійкий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досягаються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оборотність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кращого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розтанемо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себе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 </w:t>
      </w:r>
      <w:r w:rsidR="00D2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.2).</w:t>
      </w:r>
    </w:p>
    <w:p w:rsidR="00B46DC8" w:rsidRPr="00D209F4" w:rsidRDefault="00B46DC8" w:rsidP="00D209F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0B371" wp14:editId="4AC0FC19">
            <wp:extent cx="4522124" cy="1943100"/>
            <wp:effectExtent l="0" t="0" r="0" b="0"/>
            <wp:docPr id="6" name="Рисунок 6" descr="http://buklib.net/image/80/Ekonom_proizv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klib.net/image/80/Ekonom_proizv-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124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D2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.2 - Оборот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ідприємстві</w:t>
      </w:r>
      <w:proofErr w:type="spellEnd"/>
    </w:p>
    <w:p w:rsidR="00D209F4" w:rsidRDefault="00D209F4" w:rsidP="00D209F4">
      <w:pPr>
        <w:pStyle w:val="a6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(покупки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Головною задачею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максимально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обороту, через те,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Показники</w:t>
      </w:r>
      <w:proofErr w:type="spellEnd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оборотності</w:t>
      </w:r>
      <w:proofErr w:type="spellEnd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кошті</w:t>
      </w:r>
      <w:proofErr w:type="gramStart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spellEnd"/>
      <w:proofErr w:type="gramEnd"/>
      <w:r w:rsidRPr="00D20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показує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947F99" wp14:editId="65EFBCF0">
            <wp:extent cx="1027043" cy="590550"/>
            <wp:effectExtent l="0" t="0" r="1905" b="0"/>
            <wp:docPr id="5" name="Рисунок 5" descr="http://buklib.net/image/80/Ekonom_proizv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klib.net/image/80/Ekonom_proizv-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06" cy="5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РП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209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середньорічний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залишок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показує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приходиться на 1грн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303168" wp14:editId="08E4440B">
            <wp:extent cx="1411111" cy="571500"/>
            <wp:effectExtent l="0" t="0" r="0" b="0"/>
            <wp:docPr id="4" name="Рисунок 4" descr="http://buklib.net/image/80/Ekonom_proizv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klib.net/image/80/Ekonom_proizv-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11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обороту (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днях):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1304A2" wp14:editId="4CA57BE4">
            <wp:extent cx="1352550" cy="479540"/>
            <wp:effectExtent l="0" t="0" r="0" b="0"/>
            <wp:docPr id="3" name="Рисунок 3" descr="http://buklib.net/image/80/Ekonom_proizv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klib.net/image/80/Ekonom_proizv-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93" cy="48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середньорічного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0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EA6C9" wp14:editId="12A10F0A">
            <wp:extent cx="1540809" cy="523875"/>
            <wp:effectExtent l="0" t="0" r="2540" b="0"/>
            <wp:docPr id="2" name="Рисунок 2" descr="http://buklib.net/image/80/Ekonom_proizv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klib.net/image/80/Ekonom_proizv-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209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середньомісячні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прискорення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ідбувається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вивільнення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обороту при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вивільнених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ΔЗ</w:t>
      </w:r>
      <w:r w:rsidRPr="00D209F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с</w:t>
      </w:r>
      <w:proofErr w:type="spellEnd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(</w:t>
      </w:r>
      <w:proofErr w:type="spellStart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РП</w:t>
      </w:r>
      <w:r w:rsidRPr="00D209F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з</w:t>
      </w:r>
      <w:proofErr w:type="spellEnd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/360) х (Т</w:t>
      </w:r>
      <w:r w:rsidRPr="00D209F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б </w:t>
      </w:r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D209F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з</w:t>
      </w:r>
      <w:proofErr w:type="spellEnd"/>
      <w:r w:rsidRPr="00D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D209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209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209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обороту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базовому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роках,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механізації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gram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матеріально-технічного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дальності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суворе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замовниками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D20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Default="00D209F4" w:rsidP="00D209F4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09F4" w:rsidRPr="00D209F4" w:rsidRDefault="00D209F4" w:rsidP="00D209F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3. </w:t>
      </w:r>
      <w:proofErr w:type="spellStart"/>
      <w:r w:rsidRPr="00D209F4">
        <w:rPr>
          <w:rFonts w:ascii="Times New Roman" w:hAnsi="Times New Roman" w:cs="Times New Roman"/>
          <w:b/>
          <w:sz w:val="24"/>
          <w:szCs w:val="24"/>
        </w:rPr>
        <w:t>Нормуван</w:t>
      </w:r>
      <w:r>
        <w:rPr>
          <w:rFonts w:ascii="Times New Roman" w:hAnsi="Times New Roman" w:cs="Times New Roman"/>
          <w:b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оборотних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ідприємств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безперервного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нормального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аналітичний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метод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товарно-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запасі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вилучення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надлишків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коефіцієнтний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поправки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оборотності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3) метод прямого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нормативу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елементу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досягнутого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є метод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1) 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запасах;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2) 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незавершеному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3) 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залишках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готової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4) 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запасах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чином: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F1281B" wp14:editId="289C869A">
            <wp:extent cx="1461977" cy="314325"/>
            <wp:effectExtent l="0" t="0" r="5080" b="0"/>
            <wp:docPr id="13" name="Рисунок 13" descr="http://buklib.net/image/80/Ekonom_proizv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klib.net/image/80/Ekonom_proizv-2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77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lastRenderedPageBreak/>
        <w:t xml:space="preserve">де Д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денна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потреба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ресурсу, натур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дин.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грн.;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дн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норма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запасу у днях.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транспортний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запас ресурсу на час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знаходження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товарно-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ідготовчий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підг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запас на час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складування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технологічний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техн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запас на час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поточн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запас для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безперебійного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матеріальними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ресурсами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іж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черговими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поставками: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47FEA" wp14:editId="340BEFCD">
            <wp:extent cx="1236579" cy="352425"/>
            <wp:effectExtent l="0" t="0" r="1905" b="0"/>
            <wp:docPr id="12" name="Рисунок 12" descr="http://buklib.net/image/80/Ekonom_proizv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klib.net/image/80/Ekonom_proizv-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7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пост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поставки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іалу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страховий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мінімальний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перебої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постачанні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FB635D" wp14:editId="6F1FC318">
            <wp:extent cx="1485900" cy="401193"/>
            <wp:effectExtent l="0" t="0" r="0" b="0"/>
            <wp:docPr id="11" name="Рисунок 11" descr="http://buklib.net/image/80/Ekonom_proizv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klib.net/image/80/Ekonom_proizv-2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Тзрив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зриву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поставки,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тах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обґрунтований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запасу ресурсу: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C6788" wp14:editId="156C90F8">
            <wp:extent cx="2585357" cy="361950"/>
            <wp:effectExtent l="0" t="0" r="5715" b="0"/>
            <wp:docPr id="10" name="Рисунок 10" descr="http://buklib.net/image/80/Ekonom_proizv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klib.net/image/80/Ekonom_proizv-2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57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мінімальний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 (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тіп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):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02354B" wp14:editId="4CC31E64">
            <wp:extent cx="2609850" cy="358059"/>
            <wp:effectExtent l="0" t="0" r="0" b="4445"/>
            <wp:docPr id="9" name="Рисунок 9" descr="http://buklib.net/image/80/Ekonom_proizv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klib.net/image/80/Ekonom_proizv-2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Шляхом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оптимальних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досягається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безперервність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виробничого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економія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незавершеному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чином: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1B93E" wp14:editId="49DC7FCD">
            <wp:extent cx="1458892" cy="523875"/>
            <wp:effectExtent l="0" t="0" r="8255" b="0"/>
            <wp:docPr id="8" name="Рисунок 8" descr="http://buklib.net/image/80/Ekonom_proizv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klib.net/image/80/Ekonom_proizv-2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59" cy="52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>де С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ічного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, грн.;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циклу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, грн.;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нв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наростання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 формулою: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9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1FB41D" wp14:editId="7A4D91CD">
            <wp:extent cx="1590675" cy="540830"/>
            <wp:effectExtent l="0" t="0" r="0" b="0"/>
            <wp:docPr id="7" name="Рисунок 7" descr="http://buklib.net/image/80/Ekonom_proizv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klib.net/image/80/Ekonom_proizv-2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де М - </w:t>
      </w:r>
      <w:proofErr w:type="spellStart"/>
      <w:proofErr w:type="gramStart"/>
      <w:r w:rsidRPr="00D209F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виробни</w:t>
      </w:r>
      <w:bookmarkStart w:id="0" w:name="_GoBack"/>
      <w:bookmarkEnd w:id="0"/>
      <w:r w:rsidRPr="00D209F4">
        <w:rPr>
          <w:rFonts w:ascii="Times New Roman" w:hAnsi="Times New Roman" w:cs="Times New Roman"/>
          <w:sz w:val="24"/>
          <w:szCs w:val="24"/>
        </w:rPr>
        <w:t>цтво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, грн.;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</w:t>
      </w:r>
      <w:r w:rsidRPr="00D209F4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виробу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, грн.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залишках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готової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одноденного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запасу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готової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B46DC8" w:rsidRPr="00D209F4" w:rsidRDefault="00B46DC8" w:rsidP="00D20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F4">
        <w:rPr>
          <w:rFonts w:ascii="Times New Roman" w:hAnsi="Times New Roman" w:cs="Times New Roman"/>
          <w:sz w:val="24"/>
          <w:szCs w:val="24"/>
        </w:rPr>
        <w:t xml:space="preserve">Норматив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оборотних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витратах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розраховується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залишків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на початок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D209F4">
        <w:rPr>
          <w:rFonts w:ascii="Times New Roman" w:hAnsi="Times New Roman" w:cs="Times New Roman"/>
          <w:sz w:val="24"/>
          <w:szCs w:val="24"/>
        </w:rPr>
        <w:t>плановому</w:t>
      </w:r>
      <w:proofErr w:type="gramEnd"/>
      <w:r w:rsidRPr="00D20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9F4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D209F4">
        <w:rPr>
          <w:rFonts w:ascii="Times New Roman" w:hAnsi="Times New Roman" w:cs="Times New Roman"/>
          <w:sz w:val="24"/>
          <w:szCs w:val="24"/>
        </w:rPr>
        <w:t>.</w:t>
      </w:r>
    </w:p>
    <w:p w:rsidR="00AA3D6B" w:rsidRPr="00D209F4" w:rsidRDefault="00D209F4" w:rsidP="00D209F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A3D6B" w:rsidRPr="00D2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C8"/>
    <w:rsid w:val="00112384"/>
    <w:rsid w:val="00543909"/>
    <w:rsid w:val="00B46DC8"/>
    <w:rsid w:val="00D2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09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0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1148</Words>
  <Characters>6546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3</cp:revision>
  <cp:lastPrinted>2021-02-18T04:38:00Z</cp:lastPrinted>
  <dcterms:created xsi:type="dcterms:W3CDTF">2021-02-18T04:36:00Z</dcterms:created>
  <dcterms:modified xsi:type="dcterms:W3CDTF">2021-03-02T09:34:00Z</dcterms:modified>
</cp:coreProperties>
</file>