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4379" w14:textId="77777777"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7B0C4010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20028E1D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1D12C262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3B7E6E4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14:paraId="7121A8FE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35D1554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5081780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14:paraId="631AE9EF" w14:textId="77777777" w:rsidTr="00806277">
        <w:tc>
          <w:tcPr>
            <w:tcW w:w="4962" w:type="dxa"/>
            <w:shd w:val="clear" w:color="auto" w:fill="auto"/>
          </w:tcPr>
          <w:p w14:paraId="727A57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5A6D475B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2D575B15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0B4DF3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14:paraId="4874B278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14:paraId="3FEF8700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1A8D54FC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B021540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59F5F996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4C74D85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14:paraId="399B79B0" w14:textId="77777777"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14:paraId="1C981BB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14:paraId="126D3AD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037621E5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65FF09FB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14:paraId="042EE071" w14:textId="54E29E19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291DD7" w:rsidRPr="00291DD7">
        <w:rPr>
          <w:color w:val="auto"/>
          <w:szCs w:val="28"/>
          <w:u w:val="single"/>
          <w:lang w:eastAsia="en-US"/>
        </w:rPr>
        <w:t>7231 Слюсар з ремонту колісних транспортних засобів</w:t>
      </w:r>
    </w:p>
    <w:p w14:paraId="1565050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14:paraId="5F7DA272" w14:textId="14B3D09F"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4F3B9C">
        <w:rPr>
          <w:color w:val="auto"/>
          <w:szCs w:val="28"/>
          <w:u w:val="single"/>
          <w:lang w:eastAsia="en-US"/>
        </w:rPr>
        <w:t xml:space="preserve">      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14:paraId="71CDDA42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14:paraId="013B16E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14:paraId="52EB732A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14:paraId="2DADEFC5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D431E3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B8A725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6952034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A554637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736A06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AB72AF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FF73352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978AD7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5A3EF3E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D1E1A2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14:paraId="76DD4086" w14:textId="74C70AEF" w:rsidR="00806277" w:rsidRPr="0018599C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4F3B9C" w:rsidRPr="00291DD7">
        <w:rPr>
          <w:color w:val="auto"/>
          <w:szCs w:val="28"/>
          <w:u w:val="single"/>
          <w:lang w:eastAsia="en-US"/>
        </w:rPr>
        <w:t>7231 Слюсар з ремонту колісних транспортних засобів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14:paraId="21013B09" w14:textId="77777777"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4742808A" w14:textId="77777777"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14:paraId="5D4A17C8" w14:textId="77777777"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14:paraId="7E7F31D6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14:paraId="70A7EB4E" w14:textId="77777777"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14:paraId="74FB063F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14:paraId="5D2B82EA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14:paraId="694A37B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F48C9E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14:paraId="0676ECB4" w14:textId="77777777"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1B636EF0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0A3B3D8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14:paraId="33374A53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14:paraId="6B2B185C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F5262D3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46A63DF3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2A3728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36CE043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2E427B6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05D41B88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3530DC8B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E898A7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6D90E65B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6AE2165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E7F478A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3E86DCB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36C8FDE8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57C17C2E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4C5D4D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2482232E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2F8C599A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6564422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2680A85E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30C7D3B9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D12352C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14:paraId="38804167" w14:textId="77777777" w:rsidTr="00675895">
        <w:trPr>
          <w:trHeight w:val="1613"/>
        </w:trPr>
        <w:tc>
          <w:tcPr>
            <w:tcW w:w="2977" w:type="dxa"/>
            <w:vAlign w:val="center"/>
          </w:tcPr>
          <w:p w14:paraId="3E8ED8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0912197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1668408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14:paraId="76408E8E" w14:textId="77777777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14:paraId="2B59D566" w14:textId="643F03EC"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 w:rsidR="00DF154A">
              <w:rPr>
                <w:color w:val="auto"/>
                <w:szCs w:val="28"/>
                <w:lang w:eastAsia="en-US"/>
              </w:rPr>
              <w:t>1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14:paraId="305C80B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7C3FF4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525CD4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14:paraId="1B6EB55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25A9CA2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7DBD420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09A52F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14:paraId="5FF2DA7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012E8C24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71C2FEE4" w14:textId="77777777"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0B96B69" w14:textId="51567DDC" w:rsidR="00806277" w:rsidRPr="007D6012" w:rsidRDefault="004F3B9C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291DD7">
              <w:rPr>
                <w:color w:val="auto"/>
                <w:szCs w:val="28"/>
                <w:u w:val="single"/>
                <w:lang w:eastAsia="en-US"/>
              </w:rPr>
              <w:t>7231 Слюсар з ремонту колісних транспортних засобів</w:t>
            </w:r>
          </w:p>
        </w:tc>
        <w:tc>
          <w:tcPr>
            <w:tcW w:w="2665" w:type="dxa"/>
            <w:vMerge/>
            <w:vAlign w:val="center"/>
          </w:tcPr>
          <w:p w14:paraId="445A86D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14:paraId="615D9D09" w14:textId="77777777" w:rsidTr="00675895">
        <w:trPr>
          <w:trHeight w:val="439"/>
        </w:trPr>
        <w:tc>
          <w:tcPr>
            <w:tcW w:w="2977" w:type="dxa"/>
            <w:vMerge/>
            <w:vAlign w:val="center"/>
          </w:tcPr>
          <w:p w14:paraId="02B2E4B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3FCF4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A476E4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14:paraId="6CCD7326" w14:textId="77777777" w:rsidTr="00675895">
        <w:trPr>
          <w:trHeight w:val="245"/>
        </w:trPr>
        <w:tc>
          <w:tcPr>
            <w:tcW w:w="2977" w:type="dxa"/>
            <w:vMerge/>
            <w:vAlign w:val="center"/>
          </w:tcPr>
          <w:p w14:paraId="5F5E51E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0794A3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820C90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14:paraId="7A96241B" w14:textId="77777777" w:rsidTr="00675895">
        <w:trPr>
          <w:trHeight w:val="349"/>
        </w:trPr>
        <w:tc>
          <w:tcPr>
            <w:tcW w:w="2977" w:type="dxa"/>
            <w:vMerge/>
            <w:vAlign w:val="center"/>
          </w:tcPr>
          <w:p w14:paraId="20C775F0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F0438D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005D3A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14:paraId="7B775690" w14:textId="77777777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14:paraId="6CF4099B" w14:textId="08245E59" w:rsidR="00806277" w:rsidRPr="007D6012" w:rsidRDefault="00806277" w:rsidP="0056531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</w:t>
            </w:r>
            <w:r w:rsidR="00291DD7">
              <w:rPr>
                <w:color w:val="auto"/>
                <w:szCs w:val="28"/>
                <w:lang w:eastAsia="en-US"/>
              </w:rPr>
              <w:t>4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14:paraId="6921795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439E0F1" w14:textId="77777777"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14:paraId="7FE4BCD0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2C40CA6D" w14:textId="77777777"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4CA271A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14:paraId="0EEF7E3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C90C2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14:paraId="1277AE17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052C66AF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36C09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2B2DA91" w14:textId="1E780CEF" w:rsidR="00806277" w:rsidRPr="007D6012" w:rsidRDefault="00DF154A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66AA3A2B" w14:textId="77777777" w:rsidTr="00675895">
        <w:trPr>
          <w:trHeight w:val="432"/>
        </w:trPr>
        <w:tc>
          <w:tcPr>
            <w:tcW w:w="2977" w:type="dxa"/>
            <w:vMerge/>
            <w:vAlign w:val="center"/>
          </w:tcPr>
          <w:p w14:paraId="145E71CA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640062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1391A1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14:paraId="14755B5A" w14:textId="77777777" w:rsidTr="00675895">
        <w:trPr>
          <w:trHeight w:val="164"/>
        </w:trPr>
        <w:tc>
          <w:tcPr>
            <w:tcW w:w="2977" w:type="dxa"/>
            <w:vMerge/>
            <w:vAlign w:val="center"/>
          </w:tcPr>
          <w:p w14:paraId="2B8679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60F7F8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40FFD4E" w14:textId="24F86D9C" w:rsidR="00806277" w:rsidRPr="007D6012" w:rsidRDefault="002F4621" w:rsidP="00A95BD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0DE5CA0B" w14:textId="77777777" w:rsidTr="00806277">
        <w:trPr>
          <w:trHeight w:val="352"/>
        </w:trPr>
        <w:tc>
          <w:tcPr>
            <w:tcW w:w="2977" w:type="dxa"/>
            <w:vMerge/>
            <w:vAlign w:val="center"/>
          </w:tcPr>
          <w:p w14:paraId="753E40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02FA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FBF0312" w14:textId="77777777"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14:paraId="71A9227E" w14:textId="77777777" w:rsidTr="00806277">
        <w:trPr>
          <w:trHeight w:val="400"/>
        </w:trPr>
        <w:tc>
          <w:tcPr>
            <w:tcW w:w="2977" w:type="dxa"/>
            <w:vMerge/>
            <w:vAlign w:val="center"/>
          </w:tcPr>
          <w:p w14:paraId="4384CF4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90FC07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C58470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14:paraId="009D24E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279D5F6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14:paraId="4D9EAE6C" w14:textId="77777777" w:rsidTr="003D5B51">
        <w:tc>
          <w:tcPr>
            <w:tcW w:w="10158" w:type="dxa"/>
            <w:gridSpan w:val="3"/>
            <w:vAlign w:val="center"/>
          </w:tcPr>
          <w:p w14:paraId="5B61AF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14:paraId="0F7F9D57" w14:textId="77777777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14:paraId="5B964A8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14:paraId="2FB659CA" w14:textId="77777777"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14:paraId="019F6311" w14:textId="77777777"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14:paraId="5AA83DF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14:paraId="035F29AC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14:paraId="74CE55B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14:paraId="2ABC44F3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14:paraId="13ADD98C" w14:textId="77777777"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14:paraId="17EC6429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2DC3BF0A" w14:textId="77777777"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14:paraId="4984B175" w14:textId="77777777"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14:paraId="0298B2A5" w14:textId="77777777"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14:paraId="370A0EF3" w14:textId="77777777"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14:paraId="04350627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62CB483E" w14:textId="77777777"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14:paraId="2B9F5A13" w14:textId="77777777"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14:paraId="1B4F65CB" w14:textId="77777777"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14:paraId="5000DCE2" w14:textId="77777777"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14:paraId="4C26B686" w14:textId="77777777"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компетентностями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14:paraId="0139C6FC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20936998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14:paraId="7F65936A" w14:textId="77777777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14:paraId="5246C0F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14:paraId="3791B71B" w14:textId="77777777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76D53D32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D99926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14:paraId="0983EF5E" w14:textId="77777777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6C2A6A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A816D" w14:textId="77777777"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14:paraId="405D1AF7" w14:textId="77777777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14:paraId="2582A88A" w14:textId="77777777"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08883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1F6B1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14:paraId="2EA8FEE8" w14:textId="77777777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14:paraId="4EE050F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0E90034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9AC6E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AB8CD4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14:paraId="24FCEBDF" w14:textId="77777777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14:paraId="2447CE65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71C5B06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E97E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2E70D7A" w14:textId="77777777"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14:paraId="6BED4121" w14:textId="77777777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14:paraId="15F188E1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6E1CE26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73C66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44F5F0" w14:textId="77777777"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BCCB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09116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14:paraId="11AD77B4" w14:textId="77777777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07E88F7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FD59C07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AEC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0FA6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35A1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5384B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14:paraId="1B7CC25F" w14:textId="77777777" w:rsidTr="00A95BDD">
        <w:trPr>
          <w:cantSplit/>
          <w:trHeight w:val="607"/>
          <w:jc w:val="center"/>
        </w:trPr>
        <w:tc>
          <w:tcPr>
            <w:tcW w:w="1129" w:type="dxa"/>
          </w:tcPr>
          <w:p w14:paraId="46D601CB" w14:textId="77777777"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B0F9493" w14:textId="77777777"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39E59" w14:textId="3326F023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291DD7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E9918" w14:textId="0FBAF6D7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4029D" w14:textId="0F2A5D0A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5132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14:paraId="1217EEB4" w14:textId="77777777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1C396C03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7D17" w14:textId="16CE1ADE"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="00291DD7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8B892" w14:textId="1D7DE6EC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D6B04" w14:textId="5608A623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5836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3B2D3633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50850EF4" w14:textId="77777777"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14:paraId="392F2E40" w14:textId="77777777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1B9B8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14:paraId="53B3B264" w14:textId="77777777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620E25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14:paraId="707C6B25" w14:textId="77777777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14:paraId="2FCF77C7" w14:textId="77777777"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32D1C7" w14:textId="77777777"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49A699E2" w14:textId="77777777"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176A3DBC" w14:textId="77777777"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CF0579" w14:textId="77777777"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14:paraId="5E11EB4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14:paraId="2EFD1E1D" w14:textId="77777777" w:rsidTr="00B70A82">
        <w:tc>
          <w:tcPr>
            <w:tcW w:w="10184" w:type="dxa"/>
            <w:gridSpan w:val="7"/>
            <w:shd w:val="clear" w:color="auto" w:fill="auto"/>
            <w:vAlign w:val="center"/>
          </w:tcPr>
          <w:p w14:paraId="70274E8B" w14:textId="77777777"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14:paraId="4546DFCE" w14:textId="77777777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14:paraId="3F78FC80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14:paraId="1F7B9CA9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35B0EC" w14:textId="1A0499BE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</w:tcPr>
          <w:p w14:paraId="7AD12A0B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3213F211" w14:textId="77777777" w:rsidTr="00740D37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B04CCC2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2301009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8E3EFC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727C3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65CDCC8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23A56D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3220F5B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Програми створення текстових і графічних документів. 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B3F81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F406E2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47A924A1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2CC15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022670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Види і типи презентацій.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889458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53CC6F3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3C4A579F" w14:textId="77777777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EEF11D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48C981B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Загальні відомості про засоби створення презентацій. Power Point.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0B441B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48DCC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7F50BE08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B103160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42F5B6" w14:textId="4114C60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Основи мережевих систем. Мережі на основі ПК. Локальні, корпоративні і глобальні мережі.</w:t>
            </w:r>
            <w:r w:rsidR="00457C93" w:rsidRPr="007471BC">
              <w:rPr>
                <w:szCs w:val="28"/>
              </w:rPr>
              <w:t xml:space="preserve"> Загальні відомості про Internet, електронну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ED905AF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BBD7C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7BBF260D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47D781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C752742" w14:textId="70986350" w:rsidR="00A95BDD" w:rsidRPr="007471BC" w:rsidRDefault="00291DD7" w:rsidP="00A95BDD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270C8D">
              <w:rPr>
                <w:szCs w:val="28"/>
              </w:rPr>
              <w:t>Програми антивіруси та програми архіватори.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56FD01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8ED64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14:paraId="0920E73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F23ACC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A7D8B5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0317B2F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54F9555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14:paraId="42869446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E534D9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CD4C2E4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9459CA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E970423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14:paraId="6630D7A2" w14:textId="77777777" w:rsidTr="00B70A82">
        <w:tc>
          <w:tcPr>
            <w:tcW w:w="6666" w:type="dxa"/>
            <w:gridSpan w:val="3"/>
            <w:shd w:val="clear" w:color="auto" w:fill="auto"/>
          </w:tcPr>
          <w:p w14:paraId="3FF307F0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84591A" w14:textId="2B110B06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155B2F43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7FF6EE8" w14:textId="77777777" w:rsidTr="00B70A82">
        <w:tc>
          <w:tcPr>
            <w:tcW w:w="6666" w:type="dxa"/>
            <w:gridSpan w:val="3"/>
            <w:shd w:val="clear" w:color="auto" w:fill="auto"/>
          </w:tcPr>
          <w:p w14:paraId="7ACD47D3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497206" w14:textId="0F588AAE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2" w:type="dxa"/>
            <w:gridSpan w:val="2"/>
          </w:tcPr>
          <w:p w14:paraId="0CA81A23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D4E8AFC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19368AB7" w14:textId="77777777"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14:paraId="5C74458D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14:paraId="739D1F77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14:paraId="37A5328E" w14:textId="77777777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14:paraId="6DCD11FD" w14:textId="77777777"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37F731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5112FC60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6068C62A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2A8D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14:paraId="12782F47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14:paraId="27BA7848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14:paraId="1D66959C" w14:textId="77777777" w:rsidTr="006C6259">
        <w:tc>
          <w:tcPr>
            <w:tcW w:w="1163" w:type="dxa"/>
            <w:shd w:val="clear" w:color="auto" w:fill="auto"/>
          </w:tcPr>
          <w:p w14:paraId="5791479A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14:paraId="7B74CCDD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2608" w14:textId="58DC3B84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D93E28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1AA7A4F7" w14:textId="77777777" w:rsidTr="006C6259">
        <w:tc>
          <w:tcPr>
            <w:tcW w:w="1163" w:type="dxa"/>
            <w:shd w:val="clear" w:color="auto" w:fill="auto"/>
          </w:tcPr>
          <w:p w14:paraId="0386547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3634E6B" w14:textId="48E593B4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F42A03">
              <w:rPr>
                <w:szCs w:val="28"/>
              </w:rPr>
              <w:t>Основні функції текстового редактору</w:t>
            </w:r>
            <w:r w:rsidRPr="007471BC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C43C02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A3EEA1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3E4076B2" w14:textId="77777777" w:rsidTr="006C6259">
        <w:tc>
          <w:tcPr>
            <w:tcW w:w="1163" w:type="dxa"/>
            <w:shd w:val="clear" w:color="auto" w:fill="auto"/>
          </w:tcPr>
          <w:p w14:paraId="2C70501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6BBCD984" w14:textId="162F261B" w:rsidR="00A95BDD" w:rsidRPr="007471BC" w:rsidRDefault="00A95BDD" w:rsidP="00A95BDD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№2</w:t>
            </w:r>
            <w:r w:rsidRPr="007471BC">
              <w:rPr>
                <w:i/>
                <w:szCs w:val="28"/>
              </w:rPr>
              <w:t xml:space="preserve"> (1 година) </w:t>
            </w:r>
            <w:r w:rsidR="00457C93"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14:paraId="46F19D61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E2F78F7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0E99F0C5" w14:textId="77777777" w:rsidTr="006C6259">
        <w:tc>
          <w:tcPr>
            <w:tcW w:w="1163" w:type="dxa"/>
            <w:shd w:val="clear" w:color="auto" w:fill="auto"/>
          </w:tcPr>
          <w:p w14:paraId="4A1651C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54BDADE" w14:textId="4B38D5C1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shd w:val="clear" w:color="auto" w:fill="auto"/>
          </w:tcPr>
          <w:p w14:paraId="5A184A7E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70EEA76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1400282F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2B665E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A6FE219" w14:textId="38C46FF2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Пошук інформації в мережі Інтернет (за напрямком професії).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41C61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359B84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C379B14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5124E1E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A4BB3D6" w14:textId="69B86D4B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№5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3ED18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5F968D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768A147B" w14:textId="77777777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14:paraId="235AF5A2" w14:textId="77777777" w:rsidR="00A95BDD" w:rsidRPr="007D6012" w:rsidRDefault="00A95BDD" w:rsidP="00A95BD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14:paraId="738E0750" w14:textId="31FFE2A0" w:rsidR="00A95BDD" w:rsidRPr="007D6012" w:rsidRDefault="002F4621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248" w:type="dxa"/>
          </w:tcPr>
          <w:p w14:paraId="2ABB827F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A4F6EAF" w14:textId="77777777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14:paraId="2A40A46D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0CF0B940" w14:textId="3556F48E" w:rsidR="00A95BDD" w:rsidRPr="007D6012" w:rsidRDefault="002F4621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248" w:type="dxa"/>
          </w:tcPr>
          <w:p w14:paraId="09FF82F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4455F136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01382F4" w14:textId="77777777"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14:paraId="7793986A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44B092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7DABE81F" w14:textId="77777777"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ютера, лабораторний навчальний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14:paraId="46F4F94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3F0CEB8B" w14:textId="77777777"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14:paraId="56EFC0DA" w14:textId="77777777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4E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14:paraId="402232A1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A6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14:paraId="08D5DC9E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E1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B6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14:paraId="696A409B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B9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13F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14:paraId="0A462EF9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688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44D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14:paraId="1DE62017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77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14:paraId="5197899B" w14:textId="77777777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AB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949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14:paraId="6E2AD536" w14:textId="77777777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E955" w14:textId="77777777"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C8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C9721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14:paraId="7973103E" w14:textId="77777777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785E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2D0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D85C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14:paraId="50150ABB" w14:textId="77777777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431E0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14:paraId="7FE39DA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EDF9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04433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стійкі системні знання та продуктивно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14:paraId="2149353E" w14:textId="77777777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9763C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AE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10B8EC2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14:paraId="3A95E691" w14:textId="77777777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C8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41B7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CCC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обгрунтовані; має певні навички управління інформаційною системою.</w:t>
            </w:r>
          </w:p>
        </w:tc>
      </w:tr>
      <w:tr w:rsidR="006C6259" w:rsidRPr="007D6012" w14:paraId="59C652AD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B14F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14:paraId="5B1FAB08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3C4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3537B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14:paraId="0E10600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E8B2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CB2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5BDB7B27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14:paraId="2DD05F8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FD1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D0D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E01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14:paraId="52238079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EDD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14:paraId="183A5F7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893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CB4F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14:paraId="716105C1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4759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7D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701F071E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зв’язків; має стійкі навички виконання елементарних ді опрацювання даних на комп’ютері.</w:t>
            </w:r>
          </w:p>
        </w:tc>
      </w:tr>
      <w:tr w:rsidR="006C6259" w:rsidRPr="007D6012" w14:paraId="6CFFF29D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A0B2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8F9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C1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14:paraId="3F5C52AA" w14:textId="77777777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6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14:paraId="7A57B64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9CC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F82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4462D">
              <w:rPr>
                <w:sz w:val="24"/>
                <w:szCs w:val="24"/>
                <w:lang w:val="ru-RU"/>
              </w:rPr>
              <w:t>Здобувач освіти має фрагментарні знання при незначному загальному їх обсязі  (менше половини навчального матеріалу) при відсутності сформованих умінь  та навичок.</w:t>
            </w:r>
          </w:p>
        </w:tc>
      </w:tr>
      <w:tr w:rsidR="006C6259" w:rsidRPr="007D6012" w14:paraId="48D79392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27F0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4F668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3EA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14:paraId="6C140958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2088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C8B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180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14:paraId="57B759BF" w14:textId="77777777"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2FFADA11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14:paraId="3ABCA523" w14:textId="77777777" w:rsidTr="00675895">
        <w:tc>
          <w:tcPr>
            <w:tcW w:w="9889" w:type="dxa"/>
            <w:gridSpan w:val="2"/>
          </w:tcPr>
          <w:p w14:paraId="458C844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14:paraId="0C88C3FF" w14:textId="77777777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721812C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2094EE5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14:paraId="581A21E7" w14:textId="77777777" w:rsidTr="00675895">
        <w:trPr>
          <w:trHeight w:val="398"/>
        </w:trPr>
        <w:tc>
          <w:tcPr>
            <w:tcW w:w="9889" w:type="dxa"/>
            <w:gridSpan w:val="2"/>
          </w:tcPr>
          <w:p w14:paraId="75D3C42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14:paraId="6D108A8A" w14:textId="77777777" w:rsidTr="00675895">
        <w:tc>
          <w:tcPr>
            <w:tcW w:w="562" w:type="dxa"/>
          </w:tcPr>
          <w:p w14:paraId="7D938B3B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14:paraId="2051615A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Буйницька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14:paraId="64EE4CAF" w14:textId="77777777" w:rsidTr="00675895">
        <w:tc>
          <w:tcPr>
            <w:tcW w:w="562" w:type="dxa"/>
          </w:tcPr>
          <w:p w14:paraId="2E9FCFF6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14:paraId="43F9E5B6" w14:textId="77777777"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14:paraId="78055CD3" w14:textId="77777777" w:rsidTr="00675895">
        <w:tc>
          <w:tcPr>
            <w:tcW w:w="562" w:type="dxa"/>
          </w:tcPr>
          <w:p w14:paraId="2500C00D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14:paraId="28D46A79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>Б.В. Погріщук, А.В. Козловський, Ю.М. Паночишин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>. – 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14:paraId="6E31EE4D" w14:textId="77777777" w:rsidTr="00675895">
        <w:trPr>
          <w:trHeight w:val="315"/>
        </w:trPr>
        <w:tc>
          <w:tcPr>
            <w:tcW w:w="9889" w:type="dxa"/>
            <w:gridSpan w:val="2"/>
          </w:tcPr>
          <w:p w14:paraId="00C705B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14:paraId="680B8884" w14:textId="77777777" w:rsidTr="00675895">
        <w:trPr>
          <w:trHeight w:val="85"/>
        </w:trPr>
        <w:tc>
          <w:tcPr>
            <w:tcW w:w="562" w:type="dxa"/>
          </w:tcPr>
          <w:p w14:paraId="0C8FF71D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14:paraId="0A07CB36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Буйницька О.П. Інформаційні технології та технічні засоби навчання. Навч. посіб. – К.: Центр учбової літератури, 2012. – 240 с</w:t>
            </w:r>
          </w:p>
        </w:tc>
      </w:tr>
      <w:tr w:rsidR="006C46D5" w:rsidRPr="007D6012" w14:paraId="0ECF19D0" w14:textId="77777777" w:rsidTr="00675895">
        <w:tc>
          <w:tcPr>
            <w:tcW w:w="562" w:type="dxa"/>
          </w:tcPr>
          <w:p w14:paraId="1D812F1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14:paraId="7FF90203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14:paraId="2D63D00F" w14:textId="77777777" w:rsidTr="00675895">
        <w:trPr>
          <w:trHeight w:val="327"/>
        </w:trPr>
        <w:tc>
          <w:tcPr>
            <w:tcW w:w="9889" w:type="dxa"/>
            <w:gridSpan w:val="2"/>
          </w:tcPr>
          <w:p w14:paraId="3A1E099E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14:paraId="0B2ADB23" w14:textId="77777777" w:rsidTr="00675895">
        <w:trPr>
          <w:trHeight w:val="395"/>
        </w:trPr>
        <w:tc>
          <w:tcPr>
            <w:tcW w:w="562" w:type="dxa"/>
          </w:tcPr>
          <w:p w14:paraId="6931AB3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14:paraId="31830A32" w14:textId="77777777"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14:paraId="06257F52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679229B4" w14:textId="77777777"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14:paraId="6D56D214" w14:textId="77777777"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ED"/>
    <w:rsid w:val="00113282"/>
    <w:rsid w:val="0018599C"/>
    <w:rsid w:val="00291DD7"/>
    <w:rsid w:val="00294491"/>
    <w:rsid w:val="002F4621"/>
    <w:rsid w:val="003D5B51"/>
    <w:rsid w:val="00457C93"/>
    <w:rsid w:val="004F3B9C"/>
    <w:rsid w:val="0050499E"/>
    <w:rsid w:val="00565318"/>
    <w:rsid w:val="005706B5"/>
    <w:rsid w:val="006C46D5"/>
    <w:rsid w:val="006C6259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D3B70"/>
    <w:rsid w:val="00DF154A"/>
    <w:rsid w:val="00E73644"/>
    <w:rsid w:val="00EA1FBB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68D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8194</Words>
  <Characters>4671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Наталка</cp:lastModifiedBy>
  <cp:revision>18</cp:revision>
  <dcterms:created xsi:type="dcterms:W3CDTF">2022-08-30T08:12:00Z</dcterms:created>
  <dcterms:modified xsi:type="dcterms:W3CDTF">2023-12-04T12:29:00Z</dcterms:modified>
</cp:coreProperties>
</file>