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5FCF" w14:textId="77777777" w:rsidR="00401D90" w:rsidRPr="00EB230E" w:rsidRDefault="00470CDC" w:rsidP="00BA17C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>ПРОГРАМА ЄДИНОГО ДЕРЖАВНОГО КВАЛІФІКАЦІЙНОГО ІСПИТУ</w:t>
      </w:r>
    </w:p>
    <w:p w14:paraId="3E397C90" w14:textId="77777777" w:rsidR="00401D90" w:rsidRPr="00EB230E" w:rsidRDefault="00470CDC" w:rsidP="00BA17C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>ЗІ СПЕЦІАЛЬНОСТІ «АВТОМОБІЛЬНИЙ ТРАНСПОРТ»</w:t>
      </w:r>
    </w:p>
    <w:p w14:paraId="3E6C7D86" w14:textId="77777777" w:rsidR="00401D90" w:rsidRPr="00EB230E" w:rsidRDefault="00470CDC" w:rsidP="00BA17C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>НА РІВНІ ФАХОВОЇ ПЕРЕДВИЩОЇ ОСВІТИ</w:t>
      </w:r>
    </w:p>
    <w:p w14:paraId="63185605" w14:textId="77777777" w:rsidR="00401D90" w:rsidRPr="00EB230E" w:rsidRDefault="00401D90" w:rsidP="00BA17CF">
      <w:pPr>
        <w:pStyle w:val="10"/>
        <w:spacing w:line="240" w:lineRule="auto"/>
        <w:jc w:val="center"/>
        <w:rPr>
          <w:b/>
          <w:sz w:val="28"/>
          <w:szCs w:val="28"/>
        </w:rPr>
      </w:pPr>
    </w:p>
    <w:p w14:paraId="37A8DD93" w14:textId="77777777" w:rsidR="00401D90" w:rsidRPr="00EB230E" w:rsidRDefault="00470CDC" w:rsidP="00BA17CF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</w:p>
    <w:p w14:paraId="64492F7C" w14:textId="77777777" w:rsidR="00401D90" w:rsidRPr="00EB230E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Єдиний державний кваліфікаційний іспит за спеціальністю 274 «Автомобільний транспорт» на рівні фахової передвищої освіти (далі – ЄДКІ) є обов’язковим компонентом атестації здобувачів фахової передвищої освіти за спеціальністю «Автомобільний транспорт».</w:t>
      </w:r>
    </w:p>
    <w:p w14:paraId="66AF9524" w14:textId="31277AA0" w:rsidR="00401D90" w:rsidRPr="00EB230E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Метою ЄДКІ є оцінювання готовності випускника закладу фахової передвищої освіти самостійно розв’язувати спеціалізовані задачі і проблеми у сфері транспорту шляхом встановлення відповідності досягнутих здобувачем  фахової передвищої освіти результатів навчання вимогам стандарту фахової передвищої освіти за спеціальністю 274</w:t>
      </w:r>
      <w:r w:rsidR="00F51B59" w:rsidRPr="00EB23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«Автомобільний транспорт» галузі знань 27 «Транспорт» для рівня фахової передвищої освіти, затвердженого наказом Міністерства освіти і науки України </w:t>
      </w:r>
      <w:r w:rsidR="0066435B" w:rsidRPr="00DB2FB1">
        <w:rPr>
          <w:rFonts w:ascii="Times New Roman" w:hAnsi="Times New Roman" w:cs="Times New Roman"/>
          <w:sz w:val="28"/>
          <w:szCs w:val="28"/>
        </w:rPr>
        <w:t>№ </w:t>
      </w:r>
      <w:r w:rsidR="0066435B">
        <w:rPr>
          <w:rFonts w:ascii="Times New Roman" w:hAnsi="Times New Roman" w:cs="Times New Roman"/>
          <w:sz w:val="28"/>
          <w:szCs w:val="28"/>
        </w:rPr>
        <w:t>82</w:t>
      </w:r>
      <w:r w:rsidR="0066435B" w:rsidRPr="00DB2FB1">
        <w:rPr>
          <w:rFonts w:ascii="Times New Roman" w:hAnsi="Times New Roman" w:cs="Times New Roman"/>
          <w:sz w:val="28"/>
          <w:szCs w:val="28"/>
        </w:rPr>
        <w:t xml:space="preserve"> від </w:t>
      </w:r>
      <w:r w:rsidR="0066435B">
        <w:rPr>
          <w:rFonts w:ascii="Times New Roman" w:hAnsi="Times New Roman" w:cs="Times New Roman"/>
          <w:sz w:val="28"/>
          <w:szCs w:val="28"/>
        </w:rPr>
        <w:t>21 січня</w:t>
      </w:r>
      <w:r w:rsidR="0066435B" w:rsidRPr="00DB2FB1">
        <w:rPr>
          <w:rFonts w:ascii="Times New Roman" w:hAnsi="Times New Roman" w:cs="Times New Roman"/>
          <w:sz w:val="28"/>
          <w:szCs w:val="28"/>
        </w:rPr>
        <w:t xml:space="preserve"> 202</w:t>
      </w:r>
      <w:r w:rsidR="0066435B">
        <w:rPr>
          <w:rFonts w:ascii="Times New Roman" w:hAnsi="Times New Roman" w:cs="Times New Roman"/>
          <w:sz w:val="28"/>
          <w:szCs w:val="28"/>
        </w:rPr>
        <w:t>3</w:t>
      </w:r>
      <w:r w:rsidR="0066435B" w:rsidRPr="00DB2FB1">
        <w:rPr>
          <w:rFonts w:ascii="Times New Roman" w:hAnsi="Times New Roman" w:cs="Times New Roman"/>
          <w:sz w:val="28"/>
          <w:szCs w:val="28"/>
        </w:rPr>
        <w:t xml:space="preserve"> року</w:t>
      </w:r>
      <w:r w:rsidR="0066435B">
        <w:rPr>
          <w:rFonts w:ascii="Times New Roman" w:hAnsi="Times New Roman" w:cs="Times New Roman"/>
          <w:sz w:val="28"/>
          <w:szCs w:val="28"/>
        </w:rPr>
        <w:t>.</w:t>
      </w:r>
    </w:p>
    <w:p w14:paraId="78F971E6" w14:textId="77777777" w:rsidR="00401D90" w:rsidRPr="00EB230E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Для успішного складання ЄДКІ майбутній фахівець з автомобільного транспорту має здобути компетентності, які формуються під час вивчення комплексу обов’язкових та вибіркових освітніх компонент</w:t>
      </w:r>
      <w:r w:rsidR="0071340B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  упродовж  всього нормативного терміну у закладі фахової передвищої освіти. Екзаменований  повинен мати достатній рівень знань, умінь та компетентностей стосовно  здатності: до абстрактного мислення; працювати в команді, мотивувати людей та рухатися до спільної мети, бути лідером, діяти соціально відповідально та  свідомо; удосконалювати й розвивати професійний, інтелектуальний і культурний рівні; приймати обґрунтовані рішення та використовувати сучасні комунікаційні технології автомобільного транспорту; знати та розуміти предметну область, розуміти  професію; вміти виявляти, ставити та вирішувати проблеми у галузі</w:t>
      </w:r>
      <w:r w:rsidRPr="00EB230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 транспорту.</w:t>
      </w:r>
    </w:p>
    <w:p w14:paraId="14936D02" w14:textId="77777777" w:rsidR="00401D90" w:rsidRPr="00EB230E" w:rsidRDefault="00EB230E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ЄДКІ  охоплює  завдання з  розуміння «життєвого циклу» автомобільного транспорту</w:t>
      </w:r>
      <w:r w:rsidR="00470CDC" w:rsidRPr="00EB2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9A14B" w14:textId="77777777" w:rsidR="00401D90" w:rsidRPr="00EB230E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Програма ЄДКІ містить перелік питань щодо: загальної будови автомобіля; процесів в конструктивних елементах </w:t>
      </w:r>
      <w:r w:rsidR="00EB230E">
        <w:rPr>
          <w:rFonts w:ascii="Times New Roman" w:eastAsia="Times New Roman" w:hAnsi="Times New Roman" w:cs="Times New Roman"/>
          <w:sz w:val="28"/>
          <w:szCs w:val="28"/>
        </w:rPr>
        <w:t>колісних</w:t>
      </w:r>
      <w:r w:rsidR="00D725BA" w:rsidRPr="00EB230E">
        <w:rPr>
          <w:rFonts w:ascii="Times New Roman" w:eastAsia="Times New Roman" w:hAnsi="Times New Roman" w:cs="Times New Roman"/>
          <w:sz w:val="28"/>
          <w:szCs w:val="28"/>
        </w:rPr>
        <w:t xml:space="preserve"> транспортних засобів (</w:t>
      </w:r>
      <w:r w:rsidR="00EB230E">
        <w:rPr>
          <w:rFonts w:ascii="Times New Roman" w:eastAsia="Times New Roman" w:hAnsi="Times New Roman" w:cs="Times New Roman"/>
          <w:sz w:val="28"/>
          <w:szCs w:val="28"/>
        </w:rPr>
        <w:t>КТЗ</w:t>
      </w:r>
      <w:r w:rsidR="00D725BA" w:rsidRPr="00EB230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, які призводять до погіршення (або втрати) їх експлуатаційних властивостей; досягнення показників експлуатаційної надійності </w:t>
      </w:r>
      <w:r w:rsidR="00EB230E">
        <w:rPr>
          <w:rFonts w:ascii="Times New Roman" w:eastAsia="Times New Roman" w:hAnsi="Times New Roman" w:cs="Times New Roman"/>
          <w:sz w:val="28"/>
          <w:szCs w:val="28"/>
        </w:rPr>
        <w:t>КТЗ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, методів та способів  і засобів їх визначення; змісту Положення про технічне обслуговування та ремонт </w:t>
      </w:r>
      <w:r w:rsidR="00EB230E">
        <w:rPr>
          <w:rFonts w:ascii="Times New Roman" w:eastAsia="Times New Roman" w:hAnsi="Times New Roman" w:cs="Times New Roman"/>
          <w:sz w:val="28"/>
          <w:szCs w:val="28"/>
        </w:rPr>
        <w:t>КТЗ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; технологій виконання різновидів </w:t>
      </w:r>
      <w:r w:rsidR="00D725BA" w:rsidRPr="00EB230E">
        <w:rPr>
          <w:rFonts w:ascii="Times New Roman" w:eastAsia="Times New Roman" w:hAnsi="Times New Roman" w:cs="Times New Roman"/>
          <w:sz w:val="28"/>
          <w:szCs w:val="28"/>
        </w:rPr>
        <w:t>ремонтно-обслуговувальних дій (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>РОД</w:t>
      </w:r>
      <w:r w:rsidR="00D725BA" w:rsidRPr="00EB230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, різновидів способів та засобів їх реалізації;  особливостей організації технологічних процесів </w:t>
      </w:r>
      <w:r w:rsidR="00D725BA" w:rsidRPr="00EB230E">
        <w:rPr>
          <w:rFonts w:ascii="Times New Roman" w:eastAsia="Times New Roman" w:hAnsi="Times New Roman" w:cs="Times New Roman"/>
          <w:sz w:val="28"/>
          <w:szCs w:val="28"/>
        </w:rPr>
        <w:t>технічного обслуговування (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D725BA" w:rsidRPr="00EB230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 і ремонту </w:t>
      </w:r>
      <w:r w:rsidR="00EB230E">
        <w:rPr>
          <w:rFonts w:ascii="Times New Roman" w:eastAsia="Times New Roman" w:hAnsi="Times New Roman" w:cs="Times New Roman"/>
          <w:sz w:val="28"/>
          <w:szCs w:val="28"/>
        </w:rPr>
        <w:t>КТЗ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 на різних об'єктах ремонтно-обслуговувальної бази автомобільного транспорту. </w:t>
      </w:r>
    </w:p>
    <w:p w14:paraId="303DA399" w14:textId="77777777" w:rsidR="00401D90" w:rsidRPr="00EB230E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ЄДКІ проводять за такими принципами: академічна доброчесність; об’єктивність; прозорість і публічність; незалежність; нетерпимість до корупційних та пов’язаних з корупцією діянь; інтеграція у міжнародний освітній та науковий простір; єдність методики оцінювання результатів.</w:t>
      </w:r>
    </w:p>
    <w:p w14:paraId="47B9E70B" w14:textId="77777777" w:rsidR="00401D90" w:rsidRPr="00EB230E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ЄДКІ проводять </w:t>
      </w:r>
      <w:r w:rsidR="00371577" w:rsidRPr="00EB230E">
        <w:rPr>
          <w:rFonts w:ascii="Times New Roman" w:eastAsia="Times New Roman" w:hAnsi="Times New Roman" w:cs="Times New Roman"/>
          <w:sz w:val="28"/>
          <w:szCs w:val="28"/>
        </w:rPr>
        <w:t xml:space="preserve">із використанням організаційно-технологічних процесів зовнішнього незалежного оцінювання </w:t>
      </w:r>
      <w:r w:rsidRPr="00EB230E">
        <w:rPr>
          <w:rFonts w:ascii="Times New Roman" w:eastAsia="Times New Roman" w:hAnsi="Times New Roman" w:cs="Times New Roman"/>
          <w:sz w:val="28"/>
          <w:szCs w:val="28"/>
        </w:rPr>
        <w:t>відповідно до програми ЄДКІ, використовуючи різні види завдань.</w:t>
      </w:r>
    </w:p>
    <w:p w14:paraId="41E16F42" w14:textId="529807B1" w:rsidR="00401D90" w:rsidRDefault="00470CDC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Завдання кваліфікаційного іспиту розробляють відповідно до програми ЄДКІ.</w:t>
      </w:r>
    </w:p>
    <w:p w14:paraId="2D6BFAA7" w14:textId="77777777" w:rsidR="0095344F" w:rsidRPr="00EB230E" w:rsidRDefault="0095344F" w:rsidP="00D725BA">
      <w:pPr>
        <w:pStyle w:val="10"/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5FDCA" w14:textId="77777777" w:rsidR="00401D90" w:rsidRPr="00EB230E" w:rsidRDefault="00470CDC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КОГНІТИВНІ РІВНІ: </w:t>
      </w:r>
    </w:p>
    <w:p w14:paraId="4995D472" w14:textId="77777777" w:rsidR="00401D90" w:rsidRPr="00EB230E" w:rsidRDefault="00470CDC" w:rsidP="00F51B59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Рівень A. «Знання»</w:t>
      </w:r>
    </w:p>
    <w:p w14:paraId="1403FDBF" w14:textId="77777777" w:rsidR="00401D90" w:rsidRPr="00EB230E" w:rsidRDefault="00470CDC" w:rsidP="00F51B59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Рівень B. «Розуміння»</w:t>
      </w:r>
    </w:p>
    <w:p w14:paraId="782A4FA4" w14:textId="77777777" w:rsidR="00401D90" w:rsidRPr="00EB230E" w:rsidRDefault="00470CDC" w:rsidP="00F51B59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>Рівень С. «Застосування»</w:t>
      </w:r>
    </w:p>
    <w:p w14:paraId="0A3E3CD2" w14:textId="77777777" w:rsidR="00401D90" w:rsidRPr="00EB230E" w:rsidRDefault="00470CDC" w:rsidP="00F51B59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sz w:val="28"/>
          <w:szCs w:val="28"/>
        </w:rPr>
        <w:t xml:space="preserve">Рівень D. «Аналіз» </w:t>
      </w:r>
    </w:p>
    <w:p w14:paraId="10AFE9AE" w14:textId="77777777" w:rsidR="00401D90" w:rsidRPr="00EB230E" w:rsidRDefault="00401D90" w:rsidP="00F51B59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A48430" w14:textId="77777777" w:rsidR="00401D90" w:rsidRPr="00EB230E" w:rsidRDefault="00470CDC" w:rsidP="00F51B5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 xml:space="preserve">УЗАГАЛЬНЕНА СТРУКТУРА ЄДКІ  </w:t>
      </w:r>
    </w:p>
    <w:p w14:paraId="0D700653" w14:textId="77777777" w:rsidR="00401D90" w:rsidRPr="00EB230E" w:rsidRDefault="00401D90" w:rsidP="00F51B5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30"/>
        <w:gridCol w:w="5030"/>
      </w:tblGrid>
      <w:tr w:rsidR="00401D90" w:rsidRPr="00EB230E" w14:paraId="0A57230D" w14:textId="77777777">
        <w:trPr>
          <w:jc w:val="center"/>
        </w:trPr>
        <w:tc>
          <w:tcPr>
            <w:tcW w:w="5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4C50" w14:textId="77777777" w:rsidR="00401D90" w:rsidRPr="00EB230E" w:rsidRDefault="00470CD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Найменування розділу  </w:t>
            </w:r>
          </w:p>
        </w:tc>
        <w:tc>
          <w:tcPr>
            <w:tcW w:w="5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4857" w14:textId="77777777" w:rsidR="00401D90" w:rsidRPr="00EB230E" w:rsidRDefault="00470CD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Питома вага,% </w:t>
            </w:r>
          </w:p>
        </w:tc>
      </w:tr>
      <w:tr w:rsidR="00401D90" w:rsidRPr="00EB230E" w14:paraId="60AE34B2" w14:textId="77777777">
        <w:trPr>
          <w:jc w:val="center"/>
        </w:trPr>
        <w:tc>
          <w:tcPr>
            <w:tcW w:w="5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5D59" w14:textId="77777777" w:rsidR="00401D90" w:rsidRPr="00EB230E" w:rsidRDefault="00470CDC">
            <w:pPr>
              <w:pStyle w:val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Автомобілі  </w:t>
            </w:r>
          </w:p>
        </w:tc>
        <w:tc>
          <w:tcPr>
            <w:tcW w:w="5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FEF1" w14:textId="77777777" w:rsidR="00401D90" w:rsidRPr="00EB230E" w:rsidRDefault="00470CD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01D90" w:rsidRPr="00EB230E" w14:paraId="24623709" w14:textId="77777777">
        <w:trPr>
          <w:jc w:val="center"/>
        </w:trPr>
        <w:tc>
          <w:tcPr>
            <w:tcW w:w="5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8601" w14:textId="77777777" w:rsidR="00401D90" w:rsidRPr="00EB230E" w:rsidRDefault="00470CDC">
            <w:pPr>
              <w:pStyle w:val="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Технічна експлуатація автомобілів</w:t>
            </w:r>
          </w:p>
        </w:tc>
        <w:tc>
          <w:tcPr>
            <w:tcW w:w="5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9913" w14:textId="77777777" w:rsidR="00401D90" w:rsidRPr="00EB230E" w:rsidRDefault="00470CD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66E61288" w14:textId="77777777" w:rsidR="00401D90" w:rsidRPr="00EB230E" w:rsidRDefault="00401D90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61E970" w14:textId="77777777" w:rsidR="00F51B59" w:rsidRPr="00EB230E" w:rsidRDefault="00F51B59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453517" w14:textId="77777777" w:rsidR="00401D90" w:rsidRPr="00EB230E" w:rsidRDefault="00470CDC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ДЕТАЛІЗОВАНА СТРУКТУРА  </w:t>
      </w:r>
    </w:p>
    <w:p w14:paraId="29179FC5" w14:textId="325DCD47" w:rsidR="00401D90" w:rsidRDefault="00470CDC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30E">
        <w:rPr>
          <w:rFonts w:ascii="Times New Roman" w:eastAsia="Times New Roman" w:hAnsi="Times New Roman" w:cs="Times New Roman"/>
          <w:b/>
          <w:sz w:val="28"/>
          <w:szCs w:val="28"/>
        </w:rPr>
        <w:t xml:space="preserve">ЄДИНОГО ДЕРЖАВНОГО КВАЛІФІКАЦІЙНОГО ІСПИТУ ЗІ СПЕЦІАЛЬНОСТІ 274 «АВТОМОБІЛЬНИЙ ТРАНСПОРТ» </w:t>
      </w:r>
    </w:p>
    <w:p w14:paraId="5398E88B" w14:textId="3CD2D89A" w:rsidR="0095344F" w:rsidRPr="00EB230E" w:rsidRDefault="0095344F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РІВНІ ФАХОВОЇ ПЕРЕДВИЩОЇ ОСВІТИ</w:t>
      </w:r>
    </w:p>
    <w:p w14:paraId="0A59075C" w14:textId="77777777" w:rsidR="00401D90" w:rsidRPr="00EB230E" w:rsidRDefault="00401D90" w:rsidP="00F51B59">
      <w:pPr>
        <w:pStyle w:val="1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8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5475"/>
        <w:gridCol w:w="1365"/>
        <w:gridCol w:w="2010"/>
      </w:tblGrid>
      <w:tr w:rsidR="00401D90" w:rsidRPr="00EB230E" w14:paraId="5EE9F22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C1025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405FF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Найменування розділу/ підрозділу/ теми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70E6F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Питома </w:t>
            </w:r>
          </w:p>
          <w:p w14:paraId="58218978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вага, %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3B5EF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Найвищий </w:t>
            </w:r>
          </w:p>
          <w:p w14:paraId="3887568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когнітивний рівень</w:t>
            </w:r>
          </w:p>
          <w:p w14:paraId="3B0F8EE6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2700FC0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CCCBD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5C6E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Автомобілі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1C5C6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D004B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7512232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1C759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989E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Загальна будова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0C5D4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24D74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1D90" w:rsidRPr="00EB230E" w14:paraId="0CA721A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B31A2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02F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Компонувальні схеми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ACC3F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A52C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413DFFD4" w14:textId="77777777">
        <w:trPr>
          <w:trHeight w:val="476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28001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4E4A" w14:textId="77777777" w:rsidR="00401D90" w:rsidRPr="00EB230E" w:rsidRDefault="00470CDC" w:rsidP="003C43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Класифікація і технічна характеристика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956B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0684B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046E52D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C4827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B55E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Двигун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2AFA3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AA84F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04EA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55C54EF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9133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0BBF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будова двигуна внутрішнього згоряння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77D65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271D2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6AA84F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2A16CEC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26299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426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Робочий цикл двигуна внутрішнього згоряння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93372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787F1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328890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7011B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42B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Призначення, будова та робота кривошипно-шатунного механізму (КШМ)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68BD8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FD91A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5D85A49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E5998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D398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Призначення, будова та робота газорозподільного механізму (ГРМ)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52A9D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08BF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BD814A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93C34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8BE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Призначення, будова та робота системи охолодження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FF8D0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904C1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4002A47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C97B8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1.2.6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33E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Призначення, будова та робота системи мащення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4F863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D525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A5286DC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D2428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D6B8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живлення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A0F8F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3BC11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4CA3C11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C5F9E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D12D1" w14:textId="77777777" w:rsidR="00401D90" w:rsidRPr="00EB230E" w:rsidRDefault="00470CDC" w:rsidP="003E7A37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 систем живлення двигунів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7B8FD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08C51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BCB9E2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2612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BC95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Будова системи живлення </w:t>
            </w:r>
            <w:r w:rsidR="003E7A37" w:rsidRPr="003E7A37">
              <w:rPr>
                <w:rFonts w:ascii="Times New Roman" w:eastAsia="Times New Roman" w:hAnsi="Times New Roman" w:cs="Times New Roman"/>
                <w:sz w:val="28"/>
                <w:szCs w:val="28"/>
              </w:rPr>
              <w:t>бензинових</w:t>
            </w:r>
            <w:r w:rsidRPr="003E7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двигунів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0686F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34F0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004A7E1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00E13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ADB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Робота системи живлення </w:t>
            </w:r>
            <w:r w:rsidR="003E7A37" w:rsidRPr="003E7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бензинових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двигунів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C4162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1D8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B6EB1E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4EF9C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1.2.7.4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FBAE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системи живлення дизельних двигунів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C196D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854E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7D4E295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BF8C3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1.2.7.5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FE7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системи живлення дизельних двигунів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9332F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D79F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56DCE1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5CD32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1.2.7.6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CD1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складові та призначення системи живлення двигунів з газобалонним обладнанням (ГБО)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26BC4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E15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B85ABC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7A3D4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1.2.7.7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D3F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складові системи розподіленого впорскування палива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52778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7CD8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55369A3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CFB45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3C16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Електрообладнання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E16C5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C6A4B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3A45C1F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6D0BA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3182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елементів електрообладнання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21C13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BC232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E6A2DF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F1DB7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A80F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Робота елементів і систем електрообладнання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3123A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F1F8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C48F8EF" w14:textId="77777777">
        <w:trPr>
          <w:trHeight w:val="57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1B94B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28F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Контрольно-вимірювальні прилади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59651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4896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7C802F1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2B69B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FA40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Трансмісія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44DF4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F6846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39ACB829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AF099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11C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агрегатів трансмісії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08E61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3262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6A3BB1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1C3A1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BCF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агрегатів трансмісії та розташування їх на автомобілі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F785D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96991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B47213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D2BE9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5938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Автоматичні коробки передач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D8F70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48A37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6AA84F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1878FB1C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32961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509E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Ходова частина автомобіля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CAA32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A101C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5B70D09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61B3D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EA9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елементів ходової частини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B7BC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0A46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0B52339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05A9A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7C9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елементів ходової частини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7B079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9FE1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7533F4D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5395F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A80F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Колеса та шини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A2A4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4D60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483CD4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54A60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3665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Рульове керування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A7B4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87B02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6E02F98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5DBB3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5EDC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будова рульового керування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E913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B5EDC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2139E6F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CC269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F981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рульових механізмів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2AF04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1258A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453D95F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F592B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979E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рульового привод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16FCD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AD86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1776325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F837D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534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Гальмівна система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C018C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AA84F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40C3D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10B5058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6E81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66B6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 гальмівної системи. Типи гальмівних систем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425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CBE7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4922201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0C09E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1AF5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гальмівних механізмів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8ED43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30F6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B280D1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68F2A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128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Будова і призначення гальмівних приводів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9253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5519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1D57513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AC8CD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4926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Кузов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10734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E2BEA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41A967C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2FD47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5EE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 кузова. Типи кузовів вантажних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513D8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7216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7156FA0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E09FE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1590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Типи кузовів автобусів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2094E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BE6EE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1EEA650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28F8C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BFE8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Типи кузовів легкових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3FD2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37AC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7C2E090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1DE76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1B74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Технічна експлуатація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9E8A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F8C1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1E03CAB2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D0DA4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F3C4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технічного обслуговування 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47FF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17CB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03B980A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3E390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712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Відмови автомобіля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50A60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BE0B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517A3D2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B09A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02A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Параметри технічного стану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77A24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576C6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5C1C659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F0D7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4DDC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параметри надійності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CBE05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2C27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40981760" w14:textId="77777777">
        <w:trPr>
          <w:trHeight w:val="50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146F0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482B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Технічне обслуговування автомобілів. </w:t>
            </w:r>
          </w:p>
          <w:p w14:paraId="77CC716F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та періодичність обслуговування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8AB0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6278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6BFB82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59ED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2CDE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Технічна діагностика автомобілів. Завдання технічного діагностування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5122C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6ED70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4D5BF25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8A188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D7CA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Технологічне обладнання для технічного  обслуговування та ремонту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8441C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9DD4F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06363AB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D0138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A6B8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 для прибирання та миття автомобілів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CD7D5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0CAF0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1E941D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877E4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631C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Оглядове і підіймально-транспортне обладнання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2F7A0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6F6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C9289B9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003D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190F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 для мастильно-заправних робіт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E5001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0246E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171BC9F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A380E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2D40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 для проведення фарбувальних робіт та сушіння автомобіля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5EAFB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48D41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7486389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EAF11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DF7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 для проведення робіт по ремонту кузовів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FAC3A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EF84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A9D10C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F5622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4E9D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Шиномонтажне та шиноремонтне обладнання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CA50B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45FD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F1B416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93DCB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2.2.7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619E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 для проведення діагностичних робіт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1F889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88FA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2DC98C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8B01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2.2.8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0127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 для кріпильних робіт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101BF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CC84A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5152739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EA2BF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7505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Технічне обслуговування (ТО) та поточний ремонт (ПР) механізмів та систем двигунів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4266B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BC67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05ED421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A30B7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BEC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Технічне обслуговування (ТО) </w:t>
            </w:r>
            <w:r w:rsidR="004056F2"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 поточний ремонт (ПР) </w:t>
            </w: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кривошипно-шатунного механізму (КШМ)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30AD9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FAE8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1597770B" w14:textId="77777777">
        <w:trPr>
          <w:trHeight w:val="47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E365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2.3.1.1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7F5A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кривошипно-шатунного механізму (КШМ)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D47C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7A451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1C0A5199" w14:textId="77777777">
        <w:trPr>
          <w:trHeight w:val="47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E9CA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2.3.1.2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098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68B0A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0AFE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25ED6881" w14:textId="77777777">
        <w:trPr>
          <w:trHeight w:val="485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91207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2.3.1.3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8044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кривошипно-шатунного механізму (КШМ)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695DC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FD4A5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DECF642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ED6F0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2.3.1.4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6B66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 </w:t>
            </w:r>
            <w:r w:rsidR="00311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ПР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кривошипно-шатунного механізму (КШМ)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CFEB6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45566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0DD94E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0116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2.3.1.5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649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ТО</w:t>
            </w:r>
            <w:r w:rsidR="00311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кривошипно-шатунного механізму (КШМ)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73240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F625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15B42F6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3C16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F8BA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Технічне обслуговування (ТО) </w:t>
            </w:r>
            <w:r w:rsidR="004056F2"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 поточний ремонт (ПР) </w:t>
            </w: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газорозподільного механізму (ГРМ)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BE2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DBC0D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3AD628C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BD68A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2.3.2.1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4E9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газорозподільного механізму (ГРМ)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DC441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EE3C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707F18C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75D6B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2.3.2.2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A6C3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57F54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26FF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4190122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63214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2.3.2.3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147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газорозподільного механізму (ГРМ)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AD67A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2E2B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7DAC18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E259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2.3.2.4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4B4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1439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r w:rsidR="00311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газорозподільного механізму (ГРМ)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A69B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679C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4C5011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E2F27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2.3.2.5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DB5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Технологічне обладнання та інструмент для виконання робіт з </w:t>
            </w:r>
            <w:r w:rsidR="00311439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r w:rsidR="00311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газорозподільного механізму (ГРМ)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48DD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1F8D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06E75CF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6A770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71B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системи охолодження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16766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89FCE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3791C26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5E28A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2.3.3.1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C98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системи охолодження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05AEC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CD485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76CBC61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C3D0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2.3.3.2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9A7F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CBE19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59542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4268F1A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B3447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2.3.3.3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4C0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системи охолодження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F7AC6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5C58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62C9C5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BE431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2.3.3.4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190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технічно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обслуговуванн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системи охолодження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3B4C1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A305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7CF2E3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5CA28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2.3.3.5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4E9A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системи охолодження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93D44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032F1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16E9FF9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C54E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53B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системи мащення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4953A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DA970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5BF65CE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EE56D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2.3.4.1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487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системи мащення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CA3BE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297C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25AAAB8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6E40F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2.3.4.2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DAA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B41C2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67F3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474E036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4533C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2.3.4.3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F250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системи мащення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1AA2A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C6D7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4465B82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6628A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2.3.4.4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F7D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технічно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обслуговуванн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системи мащення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7A7D0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D97D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829BFA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16C9C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2.3.4.5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631B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системи мащення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6D2C1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2F0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1602572D" w14:textId="77777777">
        <w:trPr>
          <w:trHeight w:val="470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E014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2F84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Технічне обслуговування (ТО) систем живлення двигунів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9A30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06012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23A0641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71B82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32FA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системи живлення бензинових двигунів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B7843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17B35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2175C6B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BA269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85D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64274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4DC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6EA4CEBE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5C72E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01FB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системи живлення бензинових двигунів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E4F5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35EB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7D0624E0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C476F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4344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технічного обслуговування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(ТО) системи живлення бензинових двигунів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A6EA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3EC8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3620E251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18ECC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17D3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системи живлення бензинових двигунів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EF344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723B0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43D69071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70CED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AF3A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системи живлення дизельних двигунів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9F05A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693F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0EF15D17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01D9D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CC5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87B00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394D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09C6DCB2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CE75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BFF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системи живлення дизельних двигунів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8F60C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3F97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5AC88B23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D598E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5B9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технічного обслуговування 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(ТО) системи живлення дизельних двигунів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3F392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3EC9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A0DDB82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EAA96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136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системи живлення дизельних двигунів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7197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EB4E0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00360B95" w14:textId="77777777">
        <w:trPr>
          <w:trHeight w:val="58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AAD71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B020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та поточний ремонт (ПР) електрообладнання автомобіля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DA0E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3941D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435DCD4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70DF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ED4E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елементів електрообладнання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2C33F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90FBE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32F58A7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1428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0393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0C4FE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2182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703F487B" w14:textId="77777777">
        <w:trPr>
          <w:trHeight w:val="70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EB860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01FB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елементів електрообладнання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CE27D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82E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4CC91A42" w14:textId="77777777">
        <w:trPr>
          <w:trHeight w:val="70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86DA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2FE4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 технічного обслуговування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елементів електрообладнання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FF75F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1E48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93EA173" w14:textId="77777777">
        <w:trPr>
          <w:trHeight w:val="701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428C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  <w:r w:rsidR="00EB02F0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D643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елементів електрообладнання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2CDA3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7C572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55CDE37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47625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3A38" w14:textId="77777777" w:rsidR="00401D90" w:rsidRPr="00EB230E" w:rsidRDefault="00470C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Технічне обслуговування (ТО) та поточний ремонт (ПР) трансмісії, ходової частини, механізмів керування, кабіни та кузова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7227A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27BA3" w14:textId="77777777" w:rsidR="00401D90" w:rsidRPr="00EB230E" w:rsidRDefault="00401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362E372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C68D4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7EFB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трансмісії автомобіля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A4797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92E9E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2F3E528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7494F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2.4.1.1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29A1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агрегатів трансмісії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DB55E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3B39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4ED2233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092E9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2.4.1.2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98EA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6F92F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2786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21BE5EA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D00D7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2.4.1.3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237B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агрегатів трансмісії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BE465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5F82B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24BF74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27FD1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2.4.1.4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4985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 технічного обслуговування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агрегатів трансмісії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74FED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2246B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4FC31AB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B74C2" w14:textId="77777777" w:rsidR="00401D90" w:rsidRPr="00EB230E" w:rsidRDefault="00470CDC" w:rsidP="003114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2.4.1.5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EEE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агрегатів трансмісії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BBEC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2AE3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18A50589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60142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FBB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ходової частини автомобіля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7AB4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23F59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237773C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22832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2.4.2.1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CE52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елементів ходової частини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3F68E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68C77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2129A4C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0B6F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2.4.2.2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6403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993E4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B72A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32FC4A4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2CCF7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2.4.2.3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10C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елементів ходової частини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73FA0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849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F382E9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B9949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2.4.2.4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43E2B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 технічного обслуговування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елементів ходової частини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1B763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51A8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6B11EB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F7C57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2.4.2.5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059F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елементів ходової частини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E93E2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06E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5FDC561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4FE31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8D3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рульового керування автомобіля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E7B1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49105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50AC550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F9210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2.4.3.1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4441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елементів рульового керування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E66A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4E404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5248DD5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5E23F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2.4.3.2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97C0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B8D2C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3A475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723B197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F4AD6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2.4.3.3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C87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елементів рульового керування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279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9D773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5F1D8D6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CB708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2.4.3.4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8EC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 технічного обслуговування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елементів рульового керування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0AFE7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9068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7D42AC8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60F52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2.4.3.5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6760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елементів рульового керування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B086B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EBFD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6C1855E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219A1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F3C1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гальмівної системи автомобіля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D0AC7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37911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1D90" w:rsidRPr="00EB230E" w14:paraId="6D2C6C5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502EA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2.4.4.1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D699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несправності елементів гальмівної системи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E94B5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BB787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401D90" w:rsidRPr="00EB230E" w14:paraId="498B3F94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6201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2.4.4.2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4F26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виникнення несправностей та способи їх усунення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E1AE7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AEF4E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401D90" w:rsidRPr="00EB230E" w14:paraId="3427DB8E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2EC1A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2.4.4.3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8B65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Діагностичні параметри елементів гальмівної системи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8758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1EC6C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5BD56EA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E94D9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2.4.4.4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46DC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Регламентні роботи </w:t>
            </w:r>
            <w:r w:rsidR="00196BB2"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з технічного обслуговування</w:t>
            </w: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(ТО) елементів гальмівної системи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53D8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54ADA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4A17541C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3C8D4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2.4.4.5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28A8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Технологічне обладнання та інструмент для виконання робіт з технічного обслуговування (ТО) елементів гальмівної системи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0A559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42BF6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2862C895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2848B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C88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Технічне обслуговування (ТО) кузова автомобіля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18D0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C5482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693A503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5CF4C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8847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Організація виробничої діяльності об’єктів автомобільного транспорту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ED466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2744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1D90" w:rsidRPr="00EB230E" w14:paraId="4871306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4393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56F4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зберігання рухомого складу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BD18B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28190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2655DEA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AB703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AE87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зберігання технічного майна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352F9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303C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01D90" w:rsidRPr="00EB230E" w14:paraId="03CA898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D7A7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2.5.3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0ED7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автотранспортних підприємств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1A87" w14:textId="77777777" w:rsidR="00401D90" w:rsidRPr="00EB230E" w:rsidRDefault="00401D90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9B7BD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1D90" w:rsidRPr="00EB230E" w14:paraId="6C327BE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ADEE8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1C1D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Основні техніко-експлуатаційні та техніко-економічні показники роботи об’єктів автомобільного транспорту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12FFF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B0A9A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01D90" w:rsidRPr="00EB230E" w14:paraId="7ED1BC2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25F6" w14:textId="77777777" w:rsidR="00401D90" w:rsidRPr="00EB230E" w:rsidRDefault="00470CDC" w:rsidP="00311439">
            <w:pPr>
              <w:pStyle w:val="10"/>
              <w:widowControl w:val="0"/>
              <w:spacing w:line="240" w:lineRule="auto"/>
              <w:ind w:right="-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39BE" w14:textId="77777777" w:rsidR="00401D90" w:rsidRPr="00EB230E" w:rsidRDefault="00470CDC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Експлуатаційно-технічна документація на  автотранспортних підприємствах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DECA9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D09E8" w14:textId="77777777" w:rsidR="00401D90" w:rsidRPr="00EB230E" w:rsidRDefault="00470CD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14:paraId="4F2C312F" w14:textId="77777777" w:rsidR="00401D90" w:rsidRPr="00EB230E" w:rsidRDefault="00401D90">
      <w:pPr>
        <w:pStyle w:val="10"/>
        <w:rPr>
          <w:sz w:val="28"/>
          <w:szCs w:val="28"/>
        </w:rPr>
      </w:pPr>
    </w:p>
    <w:sectPr w:rsidR="00401D90" w:rsidRPr="00EB230E" w:rsidSect="00F51B59">
      <w:headerReference w:type="default" r:id="rId6"/>
      <w:pgSz w:w="11909" w:h="16834"/>
      <w:pgMar w:top="992" w:right="857" w:bottom="1440" w:left="992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987A" w14:textId="77777777" w:rsidR="00B578C0" w:rsidRDefault="00B578C0" w:rsidP="00F51B59">
      <w:pPr>
        <w:spacing w:line="240" w:lineRule="auto"/>
      </w:pPr>
      <w:r>
        <w:separator/>
      </w:r>
    </w:p>
  </w:endnote>
  <w:endnote w:type="continuationSeparator" w:id="0">
    <w:p w14:paraId="052C2B1A" w14:textId="77777777" w:rsidR="00B578C0" w:rsidRDefault="00B578C0" w:rsidP="00F51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AC37" w14:textId="77777777" w:rsidR="00B578C0" w:rsidRDefault="00B578C0" w:rsidP="00F51B59">
      <w:pPr>
        <w:spacing w:line="240" w:lineRule="auto"/>
      </w:pPr>
      <w:r>
        <w:separator/>
      </w:r>
    </w:p>
  </w:footnote>
  <w:footnote w:type="continuationSeparator" w:id="0">
    <w:p w14:paraId="5D47900F" w14:textId="77777777" w:rsidR="00B578C0" w:rsidRDefault="00B578C0" w:rsidP="00F51B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1839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4E6044" w14:textId="77777777" w:rsidR="00F51B59" w:rsidRPr="00F51B59" w:rsidRDefault="00BB168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1B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51B59" w:rsidRPr="00F51B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1B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435B" w:rsidRPr="0066435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51B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0"/>
    <w:rsid w:val="00037980"/>
    <w:rsid w:val="00112375"/>
    <w:rsid w:val="00196BB2"/>
    <w:rsid w:val="002973EC"/>
    <w:rsid w:val="00304851"/>
    <w:rsid w:val="00311439"/>
    <w:rsid w:val="003249D7"/>
    <w:rsid w:val="00371577"/>
    <w:rsid w:val="003B1EA5"/>
    <w:rsid w:val="003C43FB"/>
    <w:rsid w:val="003E7A37"/>
    <w:rsid w:val="00401D90"/>
    <w:rsid w:val="004056F2"/>
    <w:rsid w:val="00470CDC"/>
    <w:rsid w:val="004A7E7E"/>
    <w:rsid w:val="004C089C"/>
    <w:rsid w:val="005661F9"/>
    <w:rsid w:val="0066435B"/>
    <w:rsid w:val="006E4949"/>
    <w:rsid w:val="0071340B"/>
    <w:rsid w:val="0095344F"/>
    <w:rsid w:val="00983E99"/>
    <w:rsid w:val="009846E9"/>
    <w:rsid w:val="00A10003"/>
    <w:rsid w:val="00A82D36"/>
    <w:rsid w:val="00B578C0"/>
    <w:rsid w:val="00BA17CF"/>
    <w:rsid w:val="00BB1687"/>
    <w:rsid w:val="00D64784"/>
    <w:rsid w:val="00D725BA"/>
    <w:rsid w:val="00E1071E"/>
    <w:rsid w:val="00E174B0"/>
    <w:rsid w:val="00EB02F0"/>
    <w:rsid w:val="00EB230E"/>
    <w:rsid w:val="00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CDF4C"/>
  <w15:docId w15:val="{188399D0-83C1-4648-A7AA-A8F66C9A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EC"/>
  </w:style>
  <w:style w:type="paragraph" w:styleId="1">
    <w:name w:val="heading 1"/>
    <w:basedOn w:val="10"/>
    <w:next w:val="10"/>
    <w:rsid w:val="00401D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401D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401D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401D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401D9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401D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01D90"/>
  </w:style>
  <w:style w:type="table" w:customStyle="1" w:styleId="TableNormal">
    <w:name w:val="Table Normal"/>
    <w:rsid w:val="00401D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01D9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401D9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01D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01D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51B5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1B59"/>
  </w:style>
  <w:style w:type="paragraph" w:styleId="a9">
    <w:name w:val="footer"/>
    <w:basedOn w:val="a"/>
    <w:link w:val="aa"/>
    <w:uiPriority w:val="99"/>
    <w:unhideWhenUsed/>
    <w:rsid w:val="00F51B5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Ковальчук</cp:lastModifiedBy>
  <cp:revision>9</cp:revision>
  <dcterms:created xsi:type="dcterms:W3CDTF">2023-02-24T09:21:00Z</dcterms:created>
  <dcterms:modified xsi:type="dcterms:W3CDTF">2023-02-24T10:45:00Z</dcterms:modified>
</cp:coreProperties>
</file>