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65" w:rsidRPr="00E82965" w:rsidRDefault="00E82965" w:rsidP="00E829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965">
        <w:rPr>
          <w:rFonts w:ascii="Times New Roman" w:hAnsi="Times New Roman" w:cs="Times New Roman"/>
          <w:b/>
          <w:sz w:val="28"/>
          <w:lang w:val="uk-UA"/>
        </w:rPr>
        <w:t>Практична робота №3</w:t>
      </w:r>
      <w:r w:rsidRPr="00E82965">
        <w:rPr>
          <w:rFonts w:ascii="Times New Roman" w:hAnsi="Times New Roman" w:cs="Times New Roman"/>
          <w:b/>
          <w:sz w:val="28"/>
          <w:lang w:val="uk-UA"/>
        </w:rPr>
        <w:t>.</w:t>
      </w:r>
    </w:p>
    <w:p w:rsidR="00E82965" w:rsidRP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b/>
          <w:sz w:val="28"/>
          <w:lang w:val="uk-UA"/>
        </w:rPr>
        <w:t>Вербальна комунікація та невербальна комунікація, її перешкоди в міжкультурному середовищі</w:t>
      </w:r>
      <w:r w:rsidRPr="00E82965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E82965" w:rsidRP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E96420" w:rsidRP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b/>
          <w:sz w:val="28"/>
          <w:lang w:val="uk-UA"/>
        </w:rPr>
        <w:t>Мета:</w:t>
      </w:r>
      <w:r w:rsidRPr="00E82965">
        <w:rPr>
          <w:rFonts w:ascii="Times New Roman" w:hAnsi="Times New Roman" w:cs="Times New Roman"/>
          <w:sz w:val="28"/>
          <w:lang w:val="uk-UA"/>
        </w:rPr>
        <w:t xml:space="preserve"> дослідити вербальне та невербальне вираження національних особливостей різних народів.</w:t>
      </w:r>
    </w:p>
    <w:p w:rsidR="00E82965" w:rsidRPr="00E82965" w:rsidRDefault="00E82965" w:rsidP="00E829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965">
        <w:rPr>
          <w:rFonts w:ascii="Times New Roman" w:hAnsi="Times New Roman" w:cs="Times New Roman"/>
          <w:b/>
          <w:sz w:val="28"/>
          <w:lang w:val="uk-UA"/>
        </w:rPr>
        <w:t>1.1. Короткі теоретичні відомості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Вербальна (лат.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verbum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– слово) комунікація – комунікація за допомогою засобів природної людської мови.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Мовний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світ, створений кожною конкретною національною спільнотою, слугує неодмінним середовищем існування людини, яке відіграє не меншу роль, ніж природне чи соціальне середовище. Людина звикає до свого середовища, мимоволі вважаючи його найкращим, що є виявом етноцентризму – колективного уявлення про пріоритетність своєї етнічної групи, мови, національних звичаїв і культури. Він є виявом національно етнічної свідомості та самодостатності та водночас найбільшою перешкодою для досягнення міжнаціональної толерантності. У міжнаціональних та міжкультурних контактах, де «мова тіла» почасти може бути набагато зрозумілішою, ніж іноземна мова співрозмовника, важливу роль відіграють засоби невербальної комунікації – «безмовна мова», за визначенням Е.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Холла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. Характерна особливість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невербаліки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полягає у тому, що у більшості випадків вона виражає несвідоме (підсвідоме) людини. На відміну від звичайної мови, яка дана людині, щоб приховувати свої думки,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невербаліка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здатна викрити глибоко приховане. Здебільшого люди спроможні контролювати своє мовлення, а от стежити за власними жестами, мімікою, зміною кольору обличчя,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спітнінням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рук при сильному хвилюванні та іншими природніми психофізіологічними процесами людини набагато важче. Кожен народ має власну культуру невербального спілкування, тому одні рухи містять позитивне для нього смислове навантаження, а інші – негативне, або категорично заборонені. </w:t>
      </w:r>
      <w:r w:rsidRPr="00E82965">
        <w:rPr>
          <w:rFonts w:ascii="Times New Roman" w:hAnsi="Times New Roman" w:cs="Times New Roman"/>
          <w:sz w:val="28"/>
          <w:lang w:val="uk-UA"/>
        </w:rPr>
        <w:lastRenderedPageBreak/>
        <w:t xml:space="preserve">Характеризуючи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невербаліку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>, слід брати до уваги особливості національного темпераменту загалом. Значна кількість жестів, звуків та актів поведінки в цілому інтерпретується носіями різних культур неоднаково.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E82965" w:rsidRPr="00E82965" w:rsidRDefault="00E82965" w:rsidP="00E829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82965">
        <w:rPr>
          <w:rFonts w:ascii="Times New Roman" w:hAnsi="Times New Roman" w:cs="Times New Roman"/>
          <w:b/>
          <w:sz w:val="28"/>
          <w:lang w:val="uk-UA"/>
        </w:rPr>
        <w:t>1.2. Питання для дискусії на практичному занятті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1. Як співвідносяться вербальне й невербальне спілкування? Що з них важливіше?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>2. Розкрийте сутн</w:t>
      </w:r>
      <w:r>
        <w:rPr>
          <w:rFonts w:ascii="Times New Roman" w:hAnsi="Times New Roman" w:cs="Times New Roman"/>
          <w:sz w:val="28"/>
          <w:lang w:val="uk-UA"/>
        </w:rPr>
        <w:t xml:space="preserve">ість вербальної комунікації.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3. Чи можна за звуковим ладом мови виявити певні риси національного характеру і темпераменту? Проілюструйте власні висновки прикладами.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4. Проаналізуйте таблицю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ономатопів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різних мов, наведену В. М.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Манакіним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і спробуйте пояснити їх особливості.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5. Обґрунтуйте відмінність між лексичним значенням і смислом слова.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6. Охарактеризуйте основні функції невербальної комунікації.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7. Які функції виконує мовчання? Як це виражається в різних культурах?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8. Укажіть основні види невербальної комунікації. Чи існує між ними ієрархія?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9. До якого виду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невербаліки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належить усмішка? Які основні значення може мати усмішка в комунікації?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10. Охарактеризуйте на конкретних прикладах міжкультурні відмінності невербальних кодів комунікації. </w:t>
      </w:r>
    </w:p>
    <w:p w:rsid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E82965">
        <w:rPr>
          <w:rFonts w:ascii="Times New Roman" w:hAnsi="Times New Roman" w:cs="Times New Roman"/>
          <w:sz w:val="28"/>
          <w:lang w:val="uk-UA"/>
        </w:rPr>
        <w:t xml:space="preserve">11. Які соціально прийняті норми відстані між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комунікантами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виокремив Е.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Холл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? Наскільки його шкала норм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проксеміки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збігається з українськими національно-психологічними уявленнями щодо соціального простору? </w:t>
      </w:r>
    </w:p>
    <w:p w:rsidR="00E82965" w:rsidRPr="00E82965" w:rsidRDefault="00E82965" w:rsidP="00E829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E82965">
        <w:rPr>
          <w:rFonts w:ascii="Times New Roman" w:hAnsi="Times New Roman" w:cs="Times New Roman"/>
          <w:sz w:val="28"/>
          <w:lang w:val="uk-UA"/>
        </w:rPr>
        <w:t xml:space="preserve">12. Опишіть невербальний портрет українця </w:t>
      </w:r>
      <w:proofErr w:type="spellStart"/>
      <w:r w:rsidRPr="00E82965">
        <w:rPr>
          <w:rFonts w:ascii="Times New Roman" w:hAnsi="Times New Roman" w:cs="Times New Roman"/>
          <w:sz w:val="28"/>
          <w:lang w:val="uk-UA"/>
        </w:rPr>
        <w:t>порівнянно</w:t>
      </w:r>
      <w:proofErr w:type="spellEnd"/>
      <w:r w:rsidRPr="00E82965">
        <w:rPr>
          <w:rFonts w:ascii="Times New Roman" w:hAnsi="Times New Roman" w:cs="Times New Roman"/>
          <w:sz w:val="28"/>
          <w:lang w:val="uk-UA"/>
        </w:rPr>
        <w:t xml:space="preserve"> з представниками національностей, мови яких вивчаєте (на вибір), спираючись на основні складники невербальної інформації.</w:t>
      </w:r>
    </w:p>
    <w:sectPr w:rsidR="00E82965" w:rsidRPr="00E829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AD"/>
    <w:rsid w:val="000D4AAD"/>
    <w:rsid w:val="00E82965"/>
    <w:rsid w:val="00E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F246"/>
  <w15:chartTrackingRefBased/>
  <w15:docId w15:val="{F94C8063-3F9D-4A44-80F7-A5AFC03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2023-12-19T15:58:00Z</dcterms:created>
  <dcterms:modified xsi:type="dcterms:W3CDTF">2023-12-19T16:02:00Z</dcterms:modified>
</cp:coreProperties>
</file>