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9E20" w14:textId="77777777" w:rsidR="00F73884" w:rsidRPr="00F73884" w:rsidRDefault="00F73884" w:rsidP="00F73884">
      <w:pPr>
        <w:shd w:val="clear" w:color="auto" w:fill="FFFFFF"/>
        <w:spacing w:after="100" w:afterAutospacing="1" w:line="240" w:lineRule="auto"/>
        <w:outlineLvl w:val="0"/>
        <w:rPr>
          <w:rFonts w:ascii="Times New Roman" w:eastAsia="Times New Roman" w:hAnsi="Times New Roman" w:cs="Times New Roman"/>
          <w:b/>
          <w:bCs/>
          <w:color w:val="212529"/>
          <w:kern w:val="36"/>
          <w:sz w:val="24"/>
          <w:szCs w:val="24"/>
          <w:lang w:eastAsia="uk-UA"/>
        </w:rPr>
      </w:pPr>
      <w:r w:rsidRPr="00F73884">
        <w:rPr>
          <w:rFonts w:ascii="Times New Roman" w:eastAsia="Times New Roman" w:hAnsi="Times New Roman" w:cs="Times New Roman"/>
          <w:b/>
          <w:bCs/>
          <w:color w:val="212529"/>
          <w:kern w:val="36"/>
          <w:sz w:val="24"/>
          <w:szCs w:val="24"/>
          <w:lang w:eastAsia="uk-UA"/>
        </w:rPr>
        <w:t xml:space="preserve">Лекція 12. </w:t>
      </w:r>
      <w:r w:rsidRPr="00F73884">
        <w:rPr>
          <w:rFonts w:ascii="Times New Roman" w:eastAsia="Times New Roman" w:hAnsi="Times New Roman" w:cs="Times New Roman"/>
          <w:b/>
          <w:bCs/>
          <w:color w:val="212529"/>
          <w:kern w:val="36"/>
          <w:sz w:val="24"/>
          <w:szCs w:val="24"/>
          <w:lang w:eastAsia="uk-UA"/>
        </w:rPr>
        <w:t>Рентна плата за спеціальне використання лісових ресурсів</w:t>
      </w:r>
    </w:p>
    <w:p w14:paraId="4BA17C84" w14:textId="34162D08" w:rsidR="00F73884" w:rsidRDefault="00F73884" w:rsidP="00F73884">
      <w:pPr>
        <w:shd w:val="clear" w:color="auto" w:fill="FFFFFF"/>
        <w:spacing w:after="100" w:afterAutospacing="1" w:line="240" w:lineRule="auto"/>
        <w:outlineLvl w:val="0"/>
        <w:rPr>
          <w:rFonts w:ascii="Times New Roman" w:eastAsia="Times New Roman" w:hAnsi="Times New Roman" w:cs="Times New Roman"/>
          <w:color w:val="212529"/>
          <w:kern w:val="36"/>
          <w:sz w:val="24"/>
          <w:szCs w:val="24"/>
          <w:lang w:eastAsia="uk-UA"/>
        </w:rPr>
      </w:pPr>
    </w:p>
    <w:p w14:paraId="1E744744" w14:textId="2030C71D" w:rsidR="00F73884" w:rsidRPr="00F73884" w:rsidRDefault="00F73884" w:rsidP="00F73884">
      <w:pPr>
        <w:shd w:val="clear" w:color="auto" w:fill="FFFFFF"/>
        <w:spacing w:after="100" w:afterAutospacing="1" w:line="240" w:lineRule="auto"/>
        <w:outlineLvl w:val="0"/>
        <w:rPr>
          <w:rFonts w:ascii="Times New Roman" w:eastAsia="Times New Roman" w:hAnsi="Times New Roman" w:cs="Times New Roman"/>
          <w:color w:val="212529"/>
          <w:kern w:val="36"/>
          <w:sz w:val="24"/>
          <w:szCs w:val="24"/>
          <w:lang w:eastAsia="uk-UA"/>
        </w:rPr>
      </w:pPr>
      <w:r>
        <w:rPr>
          <w:rFonts w:ascii="Times New Roman" w:eastAsia="Times New Roman" w:hAnsi="Times New Roman" w:cs="Times New Roman"/>
          <w:color w:val="212529"/>
          <w:kern w:val="36"/>
          <w:sz w:val="24"/>
          <w:szCs w:val="24"/>
          <w:lang w:eastAsia="uk-UA"/>
        </w:rPr>
        <w:t xml:space="preserve">У </w:t>
      </w:r>
      <w:r w:rsidRPr="00F73884">
        <w:rPr>
          <w:rFonts w:ascii="Times New Roman" w:eastAsia="Times New Roman" w:hAnsi="Times New Roman" w:cs="Times New Roman"/>
          <w:color w:val="212529"/>
          <w:kern w:val="36"/>
          <w:sz w:val="24"/>
          <w:szCs w:val="24"/>
          <w:lang w:eastAsia="uk-UA"/>
        </w:rPr>
        <w:t>Ст</w:t>
      </w:r>
      <w:r>
        <w:rPr>
          <w:rFonts w:ascii="Times New Roman" w:eastAsia="Times New Roman" w:hAnsi="Times New Roman" w:cs="Times New Roman"/>
          <w:color w:val="212529"/>
          <w:kern w:val="36"/>
          <w:sz w:val="24"/>
          <w:szCs w:val="24"/>
          <w:lang w:eastAsia="uk-UA"/>
        </w:rPr>
        <w:t>.</w:t>
      </w:r>
      <w:r w:rsidRPr="00F73884">
        <w:rPr>
          <w:rFonts w:ascii="Times New Roman" w:eastAsia="Times New Roman" w:hAnsi="Times New Roman" w:cs="Times New Roman"/>
          <w:color w:val="212529"/>
          <w:kern w:val="36"/>
          <w:sz w:val="24"/>
          <w:szCs w:val="24"/>
          <w:lang w:eastAsia="uk-UA"/>
        </w:rPr>
        <w:t xml:space="preserve"> 256 Податкового кодексу України</w:t>
      </w:r>
      <w:r>
        <w:rPr>
          <w:rFonts w:ascii="Times New Roman" w:eastAsia="Times New Roman" w:hAnsi="Times New Roman" w:cs="Times New Roman"/>
          <w:color w:val="212529"/>
          <w:kern w:val="36"/>
          <w:sz w:val="24"/>
          <w:szCs w:val="24"/>
          <w:lang w:eastAsia="uk-UA"/>
        </w:rPr>
        <w:t xml:space="preserve"> йдеться про р</w:t>
      </w:r>
      <w:r w:rsidRPr="00F73884">
        <w:rPr>
          <w:rFonts w:ascii="Times New Roman" w:eastAsia="Times New Roman" w:hAnsi="Times New Roman" w:cs="Times New Roman"/>
          <w:color w:val="212529"/>
          <w:kern w:val="36"/>
          <w:sz w:val="24"/>
          <w:szCs w:val="24"/>
          <w:lang w:eastAsia="uk-UA"/>
        </w:rPr>
        <w:t>ентн</w:t>
      </w:r>
      <w:r>
        <w:rPr>
          <w:rFonts w:ascii="Times New Roman" w:eastAsia="Times New Roman" w:hAnsi="Times New Roman" w:cs="Times New Roman"/>
          <w:color w:val="212529"/>
          <w:kern w:val="36"/>
          <w:sz w:val="24"/>
          <w:szCs w:val="24"/>
          <w:lang w:eastAsia="uk-UA"/>
        </w:rPr>
        <w:t>у</w:t>
      </w:r>
      <w:r w:rsidRPr="00F73884">
        <w:rPr>
          <w:rFonts w:ascii="Times New Roman" w:eastAsia="Times New Roman" w:hAnsi="Times New Roman" w:cs="Times New Roman"/>
          <w:color w:val="212529"/>
          <w:kern w:val="36"/>
          <w:sz w:val="24"/>
          <w:szCs w:val="24"/>
          <w:lang w:eastAsia="uk-UA"/>
        </w:rPr>
        <w:t xml:space="preserve"> плат</w:t>
      </w:r>
      <w:r>
        <w:rPr>
          <w:rFonts w:ascii="Times New Roman" w:eastAsia="Times New Roman" w:hAnsi="Times New Roman" w:cs="Times New Roman"/>
          <w:color w:val="212529"/>
          <w:kern w:val="36"/>
          <w:sz w:val="24"/>
          <w:szCs w:val="24"/>
          <w:lang w:eastAsia="uk-UA"/>
        </w:rPr>
        <w:t>у</w:t>
      </w:r>
      <w:r w:rsidRPr="00F73884">
        <w:rPr>
          <w:rFonts w:ascii="Times New Roman" w:eastAsia="Times New Roman" w:hAnsi="Times New Roman" w:cs="Times New Roman"/>
          <w:color w:val="212529"/>
          <w:kern w:val="36"/>
          <w:sz w:val="24"/>
          <w:szCs w:val="24"/>
          <w:lang w:eastAsia="uk-UA"/>
        </w:rPr>
        <w:t xml:space="preserve"> за спеціальне використання лісових ресурсів</w:t>
      </w:r>
    </w:p>
    <w:p w14:paraId="6DDEAE0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 Платниками рентної плати за спеціальне використання лісових ресурсів є лісокористувачі - юридичні особи, їх філії, відділення, інші відокремлені підрозділи,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 фізичні особи (крім фізичних осіб, які мають право безоплатно без видачі спеціального дозволу використовувати лісові ресурси відповідно до лісового законодавства), а також фізичні особи - підприємці, які здійснюють спеціальне використання лісових ресурсів на підставі спеціального дозволу (лісорубного квитка або лісового квитка) або відповідно до умов договору довгострокового тимчасового користування лісами.</w:t>
      </w:r>
    </w:p>
    <w:p w14:paraId="12C82B5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256.2. Об’єктом оподаткування рентною платою за спеціальне використання лісових ресурсів є:</w:t>
      </w:r>
    </w:p>
    <w:p w14:paraId="2432D9B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256.2.1. деревина, заготовлена в порядку рубок головного користування;</w:t>
      </w:r>
    </w:p>
    <w:p w14:paraId="4DD6C45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256.2.2. деревина, заготовлена під час проведення заходів:</w:t>
      </w:r>
    </w:p>
    <w:p w14:paraId="4336A09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щодо поліпшення якісного складу лісів, їх оздоровлення, посилення захисних властивостей (у </w:t>
      </w:r>
      <w:proofErr w:type="spellStart"/>
      <w:r w:rsidRPr="00F73884">
        <w:rPr>
          <w:rFonts w:ascii="Times New Roman" w:eastAsia="Times New Roman" w:hAnsi="Times New Roman" w:cs="Times New Roman"/>
          <w:color w:val="212529"/>
          <w:sz w:val="24"/>
          <w:szCs w:val="24"/>
          <w:lang w:eastAsia="uk-UA"/>
        </w:rPr>
        <w:t>деревостанах</w:t>
      </w:r>
      <w:proofErr w:type="spellEnd"/>
      <w:r w:rsidRPr="00F73884">
        <w:rPr>
          <w:rFonts w:ascii="Times New Roman" w:eastAsia="Times New Roman" w:hAnsi="Times New Roman" w:cs="Times New Roman"/>
          <w:color w:val="212529"/>
          <w:sz w:val="24"/>
          <w:szCs w:val="24"/>
          <w:lang w:eastAsia="uk-UA"/>
        </w:rPr>
        <w:t xml:space="preserve">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w:t>
      </w:r>
      <w:proofErr w:type="spellStart"/>
      <w:r w:rsidRPr="00F73884">
        <w:rPr>
          <w:rFonts w:ascii="Times New Roman" w:eastAsia="Times New Roman" w:hAnsi="Times New Roman" w:cs="Times New Roman"/>
          <w:color w:val="212529"/>
          <w:sz w:val="24"/>
          <w:szCs w:val="24"/>
          <w:lang w:eastAsia="uk-UA"/>
        </w:rPr>
        <w:t>деревостанів</w:t>
      </w:r>
      <w:proofErr w:type="spellEnd"/>
      <w:r w:rsidRPr="00F73884">
        <w:rPr>
          <w:rFonts w:ascii="Times New Roman" w:eastAsia="Times New Roman" w:hAnsi="Times New Roman" w:cs="Times New Roman"/>
          <w:color w:val="212529"/>
          <w:sz w:val="24"/>
          <w:szCs w:val="24"/>
          <w:lang w:eastAsia="uk-UA"/>
        </w:rPr>
        <w:t xml:space="preserve"> - суцільні санітарні та суцільні лісовідновні рубки);</w:t>
      </w:r>
    </w:p>
    <w:p w14:paraId="21BC4F3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з розчищення лісових ділянок, вкритих лісовою рослинністю, у зв’язку з будівництвом гідровузлів, трубопроводів, шляхів тощо;</w:t>
      </w:r>
    </w:p>
    <w:p w14:paraId="503718C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256.2.3. другорядні лісові матеріали (заготівля живиці, пнів, лубу та кори, деревної зелені, деревних соків та інших другорядних лісових матеріалів, передбачених нормативно-правовими актами з ведення лісового господарства);</w:t>
      </w:r>
    </w:p>
    <w:p w14:paraId="6CBEDF3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256.2.4. побічні лісові користування (заготівля сіна, випасання худоби, заготівля дикорослих плодів, горіхів, грибів, ягід, лікарських рослин,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14:paraId="7187098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256.2.5. використання корисних властивостей лісів для культурно-оздоровчих, рекреаційних, спортивних, туристичних і </w:t>
      </w:r>
      <w:proofErr w:type="spellStart"/>
      <w:r w:rsidRPr="00F73884">
        <w:rPr>
          <w:rFonts w:ascii="Times New Roman" w:eastAsia="Times New Roman" w:hAnsi="Times New Roman" w:cs="Times New Roman"/>
          <w:color w:val="212529"/>
          <w:sz w:val="24"/>
          <w:szCs w:val="24"/>
          <w:lang w:eastAsia="uk-UA"/>
        </w:rPr>
        <w:t>освітньо</w:t>
      </w:r>
      <w:proofErr w:type="spellEnd"/>
      <w:r w:rsidRPr="00F73884">
        <w:rPr>
          <w:rFonts w:ascii="Times New Roman" w:eastAsia="Times New Roman" w:hAnsi="Times New Roman" w:cs="Times New Roman"/>
          <w:color w:val="212529"/>
          <w:sz w:val="24"/>
          <w:szCs w:val="24"/>
          <w:lang w:eastAsia="uk-UA"/>
        </w:rPr>
        <w:t>-виховних цілей та проведення науково-дослідних робіт.</w:t>
      </w:r>
    </w:p>
    <w:p w14:paraId="6485E00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256.3. Ставки рентної плати за спеціальне використання лісових ресурсів встановлюються у таких розмірах:</w:t>
      </w:r>
    </w:p>
    <w:p w14:paraId="7EEF5D5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256.3.1. за заготівлю деревини основних лісових порід:</w:t>
      </w:r>
    </w:p>
    <w:p w14:paraId="3FDD417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Найменування лісової породи</w:t>
      </w:r>
    </w:p>
    <w:p w14:paraId="2625C1D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Ставка за 1 щільний куб. метр деревини, гривень</w:t>
      </w:r>
    </w:p>
    <w:p w14:paraId="118AD4E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ділової (без кори)</w:t>
      </w:r>
    </w:p>
    <w:p w14:paraId="1616CD2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дров’яної (з корою)</w:t>
      </w:r>
    </w:p>
    <w:p w14:paraId="03C846B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великої</w:t>
      </w:r>
    </w:p>
    <w:p w14:paraId="354D277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середньої</w:t>
      </w:r>
    </w:p>
    <w:p w14:paraId="6BEF729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дрібної</w:t>
      </w:r>
    </w:p>
    <w:p w14:paraId="5C0C08C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Перший пояс лісів</w:t>
      </w:r>
    </w:p>
    <w:p w14:paraId="54BAD41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Сосна</w:t>
      </w:r>
    </w:p>
    <w:p w14:paraId="1E66C5C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304,60</w:t>
      </w:r>
    </w:p>
    <w:p w14:paraId="67BF2EB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196,20</w:t>
      </w:r>
    </w:p>
    <w:p w14:paraId="2C6F721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75,66</w:t>
      </w:r>
    </w:p>
    <w:p w14:paraId="4A78361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8,24</w:t>
      </w:r>
    </w:p>
    <w:p w14:paraId="00BF0AF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Модрина</w:t>
      </w:r>
    </w:p>
    <w:p w14:paraId="3C153319"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135,57</w:t>
      </w:r>
    </w:p>
    <w:p w14:paraId="14561FD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117,19</w:t>
      </w:r>
    </w:p>
    <w:p w14:paraId="47109E0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44,57</w:t>
      </w:r>
    </w:p>
    <w:p w14:paraId="638A3B7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4919344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Ялина, ялиця</w:t>
      </w:r>
    </w:p>
    <w:p w14:paraId="66F76A0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280,28</w:t>
      </w:r>
    </w:p>
    <w:p w14:paraId="3CAB470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239,80</w:t>
      </w:r>
    </w:p>
    <w:p w14:paraId="11D122D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91,78</w:t>
      </w:r>
    </w:p>
    <w:p w14:paraId="1F31CA7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10,37</w:t>
      </w:r>
    </w:p>
    <w:p w14:paraId="54316B4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Дуб (крім </w:t>
      </w:r>
      <w:proofErr w:type="spellStart"/>
      <w:r w:rsidRPr="00F73884">
        <w:rPr>
          <w:rFonts w:ascii="Times New Roman" w:eastAsia="Times New Roman" w:hAnsi="Times New Roman" w:cs="Times New Roman"/>
          <w:color w:val="212529"/>
          <w:sz w:val="24"/>
          <w:szCs w:val="24"/>
          <w:lang w:eastAsia="uk-UA"/>
        </w:rPr>
        <w:t>дуба</w:t>
      </w:r>
      <w:proofErr w:type="spellEnd"/>
      <w:r w:rsidRPr="00F73884">
        <w:rPr>
          <w:rFonts w:ascii="Times New Roman" w:eastAsia="Times New Roman" w:hAnsi="Times New Roman" w:cs="Times New Roman"/>
          <w:color w:val="212529"/>
          <w:sz w:val="24"/>
          <w:szCs w:val="24"/>
          <w:lang w:eastAsia="uk-UA"/>
        </w:rPr>
        <w:t xml:space="preserve"> коркового)</w:t>
      </w:r>
    </w:p>
    <w:p w14:paraId="06ED958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800,39</w:t>
      </w:r>
    </w:p>
    <w:p w14:paraId="638D425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382,48</w:t>
      </w:r>
    </w:p>
    <w:p w14:paraId="3D37D51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128,56</w:t>
      </w:r>
    </w:p>
    <w:p w14:paraId="21F664A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0480A60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Ясен, клен (крім </w:t>
      </w:r>
      <w:proofErr w:type="spellStart"/>
      <w:r w:rsidRPr="00F73884">
        <w:rPr>
          <w:rFonts w:ascii="Times New Roman" w:eastAsia="Times New Roman" w:hAnsi="Times New Roman" w:cs="Times New Roman"/>
          <w:color w:val="212529"/>
          <w:sz w:val="24"/>
          <w:szCs w:val="24"/>
          <w:lang w:eastAsia="uk-UA"/>
        </w:rPr>
        <w:t>явора</w:t>
      </w:r>
      <w:proofErr w:type="spellEnd"/>
      <w:r w:rsidRPr="00F73884">
        <w:rPr>
          <w:rFonts w:ascii="Times New Roman" w:eastAsia="Times New Roman" w:hAnsi="Times New Roman" w:cs="Times New Roman"/>
          <w:color w:val="212529"/>
          <w:sz w:val="24"/>
          <w:szCs w:val="24"/>
          <w:lang w:eastAsia="uk-UA"/>
        </w:rPr>
        <w:t>)</w:t>
      </w:r>
    </w:p>
    <w:p w14:paraId="566E0CF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300,12</w:t>
      </w:r>
    </w:p>
    <w:p w14:paraId="56F4694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255,05</w:t>
      </w:r>
    </w:p>
    <w:p w14:paraId="7978755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128,56</w:t>
      </w:r>
    </w:p>
    <w:p w14:paraId="1D3A06D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5625FCC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Бук</w:t>
      </w:r>
    </w:p>
    <w:p w14:paraId="0A5EB2B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575,33</w:t>
      </w:r>
    </w:p>
    <w:p w14:paraId="6DF9C85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368,60</w:t>
      </w:r>
    </w:p>
    <w:p w14:paraId="22880A4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123,39</w:t>
      </w:r>
    </w:p>
    <w:p w14:paraId="57FFEB2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11,43</w:t>
      </w:r>
    </w:p>
    <w:p w14:paraId="0FEC7C4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Береза, вільха чорна, граб звичайний, в’яз, липа</w:t>
      </w:r>
    </w:p>
    <w:p w14:paraId="7E686C1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43,54</w:t>
      </w:r>
    </w:p>
    <w:p w14:paraId="0708507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38,91</w:t>
      </w:r>
    </w:p>
    <w:p w14:paraId="65043E2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29,53</w:t>
      </w:r>
    </w:p>
    <w:p w14:paraId="6ED10BD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64C1629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Осика, вільха сіра, тополя</w:t>
      </w:r>
    </w:p>
    <w:p w14:paraId="69EF5EE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26,48</w:t>
      </w:r>
    </w:p>
    <w:p w14:paraId="1F193C1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21,77</w:t>
      </w:r>
    </w:p>
    <w:p w14:paraId="2622BBE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17,20</w:t>
      </w:r>
    </w:p>
    <w:p w14:paraId="1D8EA72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7,27</w:t>
      </w:r>
    </w:p>
    <w:p w14:paraId="04AFDCD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Другий пояс лісів</w:t>
      </w:r>
    </w:p>
    <w:p w14:paraId="69B7CAC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Сосна</w:t>
      </w:r>
    </w:p>
    <w:p w14:paraId="4AEAB6E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256,03</w:t>
      </w:r>
    </w:p>
    <w:p w14:paraId="2978168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165,74</w:t>
      </w:r>
    </w:p>
    <w:p w14:paraId="7F0646D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64,26</w:t>
      </w:r>
    </w:p>
    <w:p w14:paraId="2ED8663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7,27</w:t>
      </w:r>
    </w:p>
    <w:p w14:paraId="3ED744F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Модрина</w:t>
      </w:r>
    </w:p>
    <w:p w14:paraId="637CCB6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117,19</w:t>
      </w:r>
    </w:p>
    <w:p w14:paraId="459355C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99,09</w:t>
      </w:r>
    </w:p>
    <w:p w14:paraId="404E91B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38,32</w:t>
      </w:r>
    </w:p>
    <w:p w14:paraId="21387B2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9,37</w:t>
      </w:r>
    </w:p>
    <w:p w14:paraId="0ED8B1E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Ялина, ялиця</w:t>
      </w:r>
    </w:p>
    <w:p w14:paraId="2A2DA9A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236,80</w:t>
      </w:r>
    </w:p>
    <w:p w14:paraId="34D186F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202,15</w:t>
      </w:r>
    </w:p>
    <w:p w14:paraId="653386C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78,49</w:t>
      </w:r>
    </w:p>
    <w:p w14:paraId="04C639F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8,86</w:t>
      </w:r>
    </w:p>
    <w:p w14:paraId="43AB738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Дуб (крім </w:t>
      </w:r>
      <w:proofErr w:type="spellStart"/>
      <w:r w:rsidRPr="00F73884">
        <w:rPr>
          <w:rFonts w:ascii="Times New Roman" w:eastAsia="Times New Roman" w:hAnsi="Times New Roman" w:cs="Times New Roman"/>
          <w:color w:val="212529"/>
          <w:sz w:val="24"/>
          <w:szCs w:val="24"/>
          <w:lang w:eastAsia="uk-UA"/>
        </w:rPr>
        <w:t>дуба</w:t>
      </w:r>
      <w:proofErr w:type="spellEnd"/>
      <w:r w:rsidRPr="00F73884">
        <w:rPr>
          <w:rFonts w:ascii="Times New Roman" w:eastAsia="Times New Roman" w:hAnsi="Times New Roman" w:cs="Times New Roman"/>
          <w:color w:val="212529"/>
          <w:sz w:val="24"/>
          <w:szCs w:val="24"/>
          <w:lang w:eastAsia="uk-UA"/>
        </w:rPr>
        <w:t xml:space="preserve"> коркового)</w:t>
      </w:r>
    </w:p>
    <w:p w14:paraId="237AF87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675,97</w:t>
      </w:r>
    </w:p>
    <w:p w14:paraId="3F9B274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326,62</w:t>
      </w:r>
    </w:p>
    <w:p w14:paraId="3E3EA92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107,76</w:t>
      </w:r>
    </w:p>
    <w:p w14:paraId="04EC3F9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7651734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Ясен, клен (крім </w:t>
      </w:r>
      <w:proofErr w:type="spellStart"/>
      <w:r w:rsidRPr="00F73884">
        <w:rPr>
          <w:rFonts w:ascii="Times New Roman" w:eastAsia="Times New Roman" w:hAnsi="Times New Roman" w:cs="Times New Roman"/>
          <w:color w:val="212529"/>
          <w:sz w:val="24"/>
          <w:szCs w:val="24"/>
          <w:lang w:eastAsia="uk-UA"/>
        </w:rPr>
        <w:t>явора</w:t>
      </w:r>
      <w:proofErr w:type="spellEnd"/>
      <w:r w:rsidRPr="00F73884">
        <w:rPr>
          <w:rFonts w:ascii="Times New Roman" w:eastAsia="Times New Roman" w:hAnsi="Times New Roman" w:cs="Times New Roman"/>
          <w:color w:val="212529"/>
          <w:sz w:val="24"/>
          <w:szCs w:val="24"/>
          <w:lang w:eastAsia="uk-UA"/>
        </w:rPr>
        <w:t>)</w:t>
      </w:r>
    </w:p>
    <w:p w14:paraId="2DC1482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253,46</w:t>
      </w:r>
    </w:p>
    <w:p w14:paraId="6AFB0C9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217,71</w:t>
      </w:r>
    </w:p>
    <w:p w14:paraId="3C1FBF3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107,76</w:t>
      </w:r>
    </w:p>
    <w:p w14:paraId="28F6CB3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1EDDCB1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Бук</w:t>
      </w:r>
    </w:p>
    <w:p w14:paraId="3DC5760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488,34</w:t>
      </w:r>
    </w:p>
    <w:p w14:paraId="5B4E566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312,61</w:t>
      </w:r>
    </w:p>
    <w:p w14:paraId="6756193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104,73</w:t>
      </w:r>
    </w:p>
    <w:p w14:paraId="6D1244B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9,37</w:t>
      </w:r>
    </w:p>
    <w:p w14:paraId="70E33CB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Береза, вільха чорна, граб звичайний, в’яз, липа</w:t>
      </w:r>
    </w:p>
    <w:p w14:paraId="589CBAF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37,34</w:t>
      </w:r>
    </w:p>
    <w:p w14:paraId="0FBCFC5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31,14</w:t>
      </w:r>
    </w:p>
    <w:p w14:paraId="60290C9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24,87</w:t>
      </w:r>
    </w:p>
    <w:p w14:paraId="21D5C4A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8,24</w:t>
      </w:r>
    </w:p>
    <w:p w14:paraId="20E6A199"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Осика, вільха сіра, тополя</w:t>
      </w:r>
    </w:p>
    <w:p w14:paraId="4AD23D6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21,77</w:t>
      </w:r>
    </w:p>
    <w:p w14:paraId="7E89810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20,22</w:t>
      </w:r>
    </w:p>
    <w:p w14:paraId="7C291FF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15,56</w:t>
      </w:r>
    </w:p>
    <w:p w14:paraId="50BB7EB9"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6,21</w:t>
      </w:r>
    </w:p>
    <w:p w14:paraId="43F96A2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256.3.2. за заготівлю деревини неосновних лісових порід:</w:t>
      </w:r>
    </w:p>
    <w:p w14:paraId="5269558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Найменування лісової породи</w:t>
      </w:r>
    </w:p>
    <w:p w14:paraId="2E03A25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Ставка за 1 щільний куб. метр деревини, гривень</w:t>
      </w:r>
    </w:p>
    <w:p w14:paraId="5C78C71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ділової (без кори)</w:t>
      </w:r>
    </w:p>
    <w:p w14:paraId="2079A5A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дров’яної (з корою)</w:t>
      </w:r>
    </w:p>
    <w:p w14:paraId="75D3CBC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великої</w:t>
      </w:r>
    </w:p>
    <w:p w14:paraId="593D9DA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середньої</w:t>
      </w:r>
    </w:p>
    <w:p w14:paraId="2BD531E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дрібної</w:t>
      </w:r>
    </w:p>
    <w:p w14:paraId="2CE96EC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Перший пояс лісів</w:t>
      </w:r>
    </w:p>
    <w:p w14:paraId="124A75D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Самшит</w:t>
      </w:r>
    </w:p>
    <w:p w14:paraId="4D96CA5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1401,06</w:t>
      </w:r>
    </w:p>
    <w:p w14:paraId="2CDE19C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1197,37</w:t>
      </w:r>
    </w:p>
    <w:p w14:paraId="5F90499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598,16</w:t>
      </w:r>
    </w:p>
    <w:p w14:paraId="3D637B8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2C86857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Бархат, горіх</w:t>
      </w:r>
    </w:p>
    <w:p w14:paraId="3FBB128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872,42</w:t>
      </w:r>
    </w:p>
    <w:p w14:paraId="06C1A46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746,43</w:t>
      </w:r>
    </w:p>
    <w:p w14:paraId="4DCCA61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373,25</w:t>
      </w:r>
    </w:p>
    <w:p w14:paraId="3F0D5DD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7ED5902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Груша, кизил, явір</w:t>
      </w:r>
    </w:p>
    <w:p w14:paraId="620888A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699,80</w:t>
      </w:r>
    </w:p>
    <w:p w14:paraId="7C6F4FF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598,72</w:t>
      </w:r>
    </w:p>
    <w:p w14:paraId="555CE7F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299,59</w:t>
      </w:r>
    </w:p>
    <w:p w14:paraId="683BD22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59FA4A2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Абрикос, вишня, ялівець, обліпиха, слива (крім терну), черешня, шовковиця, яблуня</w:t>
      </w:r>
    </w:p>
    <w:p w14:paraId="71FBC38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522,52</w:t>
      </w:r>
    </w:p>
    <w:p w14:paraId="6288506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446,31</w:t>
      </w:r>
    </w:p>
    <w:p w14:paraId="22817B2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222,93</w:t>
      </w:r>
    </w:p>
    <w:p w14:paraId="5C5D503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02DA524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Каштан, дуб корковий</w:t>
      </w:r>
    </w:p>
    <w:p w14:paraId="0C93258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436,93</w:t>
      </w:r>
    </w:p>
    <w:p w14:paraId="0413FE5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373,25</w:t>
      </w:r>
    </w:p>
    <w:p w14:paraId="0E1247D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186,59</w:t>
      </w:r>
    </w:p>
    <w:p w14:paraId="6E59C1D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046D5E4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Барбарис, гледичія, кипарис, шипшина</w:t>
      </w:r>
    </w:p>
    <w:p w14:paraId="72C653E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348,33</w:t>
      </w:r>
    </w:p>
    <w:p w14:paraId="3D8DD92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298,59</w:t>
      </w:r>
    </w:p>
    <w:p w14:paraId="05CF858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149,27</w:t>
      </w:r>
    </w:p>
    <w:p w14:paraId="054365C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05A3C72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Акація, бруслина, бирючина, глід, граб східний, тамарикс, калина, крушина, ліщина, горобина, бузок, скумпія, свидина, терен, черемха</w:t>
      </w:r>
    </w:p>
    <w:p w14:paraId="771AF5E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261,25</w:t>
      </w:r>
    </w:p>
    <w:p w14:paraId="6059AD7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223,93</w:t>
      </w:r>
    </w:p>
    <w:p w14:paraId="6B60676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112,00</w:t>
      </w:r>
    </w:p>
    <w:p w14:paraId="6C6BA49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13,47</w:t>
      </w:r>
    </w:p>
    <w:p w14:paraId="789654D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Верба, чагарники (крім зазначених в інших позиціях)</w:t>
      </w:r>
    </w:p>
    <w:p w14:paraId="3A411B5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87,07</w:t>
      </w:r>
    </w:p>
    <w:p w14:paraId="6EC38A3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74,67</w:t>
      </w:r>
    </w:p>
    <w:p w14:paraId="5E9B1CA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37,34</w:t>
      </w:r>
    </w:p>
    <w:p w14:paraId="7FA617A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7,27</w:t>
      </w:r>
    </w:p>
    <w:p w14:paraId="21E5CF8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Другий пояс лісів</w:t>
      </w:r>
    </w:p>
    <w:p w14:paraId="08579669"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Самшит</w:t>
      </w:r>
    </w:p>
    <w:p w14:paraId="2331F33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1186,52</w:t>
      </w:r>
    </w:p>
    <w:p w14:paraId="4E4D54B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1013,87</w:t>
      </w:r>
    </w:p>
    <w:p w14:paraId="07B8878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508,00</w:t>
      </w:r>
    </w:p>
    <w:p w14:paraId="4D3396E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4F315F2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Бархат, горіх</w:t>
      </w:r>
    </w:p>
    <w:p w14:paraId="341D4F3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743,27</w:t>
      </w:r>
    </w:p>
    <w:p w14:paraId="6373B85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634,51</w:t>
      </w:r>
    </w:p>
    <w:p w14:paraId="697465A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317,26</w:t>
      </w:r>
    </w:p>
    <w:p w14:paraId="316DB04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580FAAF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Груша, кизил, явір</w:t>
      </w:r>
    </w:p>
    <w:p w14:paraId="6C1EC18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593,98</w:t>
      </w:r>
    </w:p>
    <w:p w14:paraId="72F29B2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506,96</w:t>
      </w:r>
    </w:p>
    <w:p w14:paraId="6036010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254,01</w:t>
      </w:r>
    </w:p>
    <w:p w14:paraId="12D3354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4BAEB6C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Абрикос, вишня, ялівець, обліпиха, слива (крім терну), черешня, шовковиця, яблуня</w:t>
      </w:r>
    </w:p>
    <w:p w14:paraId="08A805E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444,76</w:t>
      </w:r>
    </w:p>
    <w:p w14:paraId="30F66B0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381,00</w:t>
      </w:r>
    </w:p>
    <w:p w14:paraId="78756AD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190,68</w:t>
      </w:r>
    </w:p>
    <w:p w14:paraId="4B8FF4B9"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6CAC2F8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Каштан, дуб корковий</w:t>
      </w:r>
    </w:p>
    <w:p w14:paraId="24A925F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371,62</w:t>
      </w:r>
    </w:p>
    <w:p w14:paraId="0822446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318,80</w:t>
      </w:r>
    </w:p>
    <w:p w14:paraId="25A61A4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158,62</w:t>
      </w:r>
    </w:p>
    <w:p w14:paraId="704BC66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260638E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Барбарис, гледичія, кипарис, шипшина</w:t>
      </w:r>
    </w:p>
    <w:p w14:paraId="57C0C7B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297,09</w:t>
      </w:r>
    </w:p>
    <w:p w14:paraId="19BA5EE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253,46</w:t>
      </w:r>
    </w:p>
    <w:p w14:paraId="1DD73F8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126,44</w:t>
      </w:r>
    </w:p>
    <w:p w14:paraId="65ABCFD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0B5149B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Акація, бруслина, бирючина, глід, граб східний, тамарикс, калина, крушина, ліщина, горобина, бузок, скумпія, свидина, терен, черемха</w:t>
      </w:r>
    </w:p>
    <w:p w14:paraId="4886C14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222,37</w:t>
      </w:r>
    </w:p>
    <w:p w14:paraId="74B2D1E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189,75</w:t>
      </w:r>
    </w:p>
    <w:p w14:paraId="0B2AB14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95,38</w:t>
      </w:r>
    </w:p>
    <w:p w14:paraId="7FE0CDE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10,29</w:t>
      </w:r>
    </w:p>
    <w:p w14:paraId="6E473B0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Верба, чагарники (крім зазначених в інших позиціях)</w:t>
      </w:r>
    </w:p>
    <w:p w14:paraId="3DB16DE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74,67</w:t>
      </w:r>
    </w:p>
    <w:p w14:paraId="5AD27E27"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63,68</w:t>
      </w:r>
    </w:p>
    <w:p w14:paraId="583E7755"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32,17</w:t>
      </w:r>
    </w:p>
    <w:p w14:paraId="6F74D78F"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6,21.</w:t>
      </w:r>
    </w:p>
    <w:p w14:paraId="707E876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256.4. Ставки рентної плати, встановлені підпунктами 256.3.1 і 256.3.2 пункту 256.3 цієї статті, застосовуються при заготівлі деревини в порядку рубок головного користування та під час проведення заходів щодо поліпшення якісного складу лісів, їх оздоровлення, посилення захисних властивостей (у </w:t>
      </w:r>
      <w:proofErr w:type="spellStart"/>
      <w:r w:rsidRPr="00F73884">
        <w:rPr>
          <w:rFonts w:ascii="Times New Roman" w:eastAsia="Times New Roman" w:hAnsi="Times New Roman" w:cs="Times New Roman"/>
          <w:color w:val="212529"/>
          <w:sz w:val="24"/>
          <w:szCs w:val="24"/>
          <w:lang w:eastAsia="uk-UA"/>
        </w:rPr>
        <w:t>деревостанах</w:t>
      </w:r>
      <w:proofErr w:type="spellEnd"/>
      <w:r w:rsidRPr="00F73884">
        <w:rPr>
          <w:rFonts w:ascii="Times New Roman" w:eastAsia="Times New Roman" w:hAnsi="Times New Roman" w:cs="Times New Roman"/>
          <w:color w:val="212529"/>
          <w:sz w:val="24"/>
          <w:szCs w:val="24"/>
          <w:lang w:eastAsia="uk-UA"/>
        </w:rPr>
        <w:t xml:space="preserve">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w:t>
      </w:r>
      <w:proofErr w:type="spellStart"/>
      <w:r w:rsidRPr="00F73884">
        <w:rPr>
          <w:rFonts w:ascii="Times New Roman" w:eastAsia="Times New Roman" w:hAnsi="Times New Roman" w:cs="Times New Roman"/>
          <w:color w:val="212529"/>
          <w:sz w:val="24"/>
          <w:szCs w:val="24"/>
          <w:lang w:eastAsia="uk-UA"/>
        </w:rPr>
        <w:t>деревостанів</w:t>
      </w:r>
      <w:proofErr w:type="spellEnd"/>
      <w:r w:rsidRPr="00F73884">
        <w:rPr>
          <w:rFonts w:ascii="Times New Roman" w:eastAsia="Times New Roman" w:hAnsi="Times New Roman" w:cs="Times New Roman"/>
          <w:color w:val="212529"/>
          <w:sz w:val="24"/>
          <w:szCs w:val="24"/>
          <w:lang w:eastAsia="uk-UA"/>
        </w:rPr>
        <w:t xml:space="preserve"> - суцільні санітарні та суцільні лісовідновні рубки) та заходів з розчищення лісових ділянок, вкритих лісовою рослинністю, у зв’язку з будівництвом гідровузлів, трубопроводів, шляхів тощо.</w:t>
      </w:r>
    </w:p>
    <w:p w14:paraId="411E51D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256.5. Ставки рентної плати за заготівлю деревини застосовуються з урахуванням розподілу лісів за поясами.</w:t>
      </w:r>
    </w:p>
    <w:p w14:paraId="4335841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256.6. Розподіл лісів за поясами:</w:t>
      </w:r>
    </w:p>
    <w:p w14:paraId="77190C9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256.6.1. до першого поясу належать усі ліси, за винятком лісів Закарпатської, Івано-Франківської та Чернівецької областей і лісів гірської зони Львівської області;</w:t>
      </w:r>
    </w:p>
    <w:p w14:paraId="170408F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256.6.2. до другого поясу належать ліси Закарпатської, Івано-Франківської та Чернівецької областей і ліси гірської зони Львівської області.</w:t>
      </w:r>
    </w:p>
    <w:p w14:paraId="10D7DF8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{Пункт 256.7 статті 256 виключено на підставі Закону № 466-IX від 16.01.2020}</w:t>
      </w:r>
    </w:p>
    <w:p w14:paraId="44A790B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{Пункт 256.8 статті 256 виключено на підставі Закону № 466-IX від 16.01.2020}</w:t>
      </w:r>
    </w:p>
    <w:p w14:paraId="6B689A2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256.9. До великої деревини всіх лісових порід належать відрізки стовбура (у верхньому перетині без кори) діаметром від 25 сантиметрів і більше, до середньої - діаметром від 13 до 24 сантиметрів, до дрібної - діаметром від 3 до 12 сантиметрів.</w:t>
      </w:r>
    </w:p>
    <w:p w14:paraId="26EF58F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До дров’яної деревини належать сортименти, які можна використовувати для технологічних потреб, а також не придатні для промислової переробки (дрова паливні).</w:t>
      </w:r>
    </w:p>
    <w:p w14:paraId="47349A3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На дров’яну деревину, використану для технологічних потреб, </w:t>
      </w:r>
      <w:proofErr w:type="spellStart"/>
      <w:r w:rsidRPr="00F73884">
        <w:rPr>
          <w:rFonts w:ascii="Times New Roman" w:eastAsia="Times New Roman" w:hAnsi="Times New Roman" w:cs="Times New Roman"/>
          <w:color w:val="212529"/>
          <w:sz w:val="24"/>
          <w:szCs w:val="24"/>
          <w:lang w:eastAsia="uk-UA"/>
        </w:rPr>
        <w:t>донараховується</w:t>
      </w:r>
      <w:proofErr w:type="spellEnd"/>
      <w:r w:rsidRPr="00F73884">
        <w:rPr>
          <w:rFonts w:ascii="Times New Roman" w:eastAsia="Times New Roman" w:hAnsi="Times New Roman" w:cs="Times New Roman"/>
          <w:color w:val="212529"/>
          <w:sz w:val="24"/>
          <w:szCs w:val="24"/>
          <w:lang w:eastAsia="uk-UA"/>
        </w:rPr>
        <w:t xml:space="preserve"> рентна плата за результатами фактичної заготівлі у розмірі 70 відсотків установлених підпунктами 256.3.1 і 256.3.2 пункту 256.3 цієї статті ставок рентної плати за ділову дрібну деревину відповідної лісової породи.</w:t>
      </w:r>
    </w:p>
    <w:p w14:paraId="480D7A2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Ставки рентної плати за ділову і дров’яну деревину липи встановлені підпунктами 256.3.1 і 256.3.2 пункту 256.3 цієї статті без урахування кори, а за дров’яну деревину решти лісових порід - з корою.</w:t>
      </w:r>
    </w:p>
    <w:p w14:paraId="48136D1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За </w:t>
      </w:r>
      <w:proofErr w:type="spellStart"/>
      <w:r w:rsidRPr="00F73884">
        <w:rPr>
          <w:rFonts w:ascii="Times New Roman" w:eastAsia="Times New Roman" w:hAnsi="Times New Roman" w:cs="Times New Roman"/>
          <w:color w:val="212529"/>
          <w:sz w:val="24"/>
          <w:szCs w:val="24"/>
          <w:lang w:eastAsia="uk-UA"/>
        </w:rPr>
        <w:t>ліквід</w:t>
      </w:r>
      <w:proofErr w:type="spellEnd"/>
      <w:r w:rsidRPr="00F73884">
        <w:rPr>
          <w:rFonts w:ascii="Times New Roman" w:eastAsia="Times New Roman" w:hAnsi="Times New Roman" w:cs="Times New Roman"/>
          <w:color w:val="212529"/>
          <w:sz w:val="24"/>
          <w:szCs w:val="24"/>
          <w:lang w:eastAsia="uk-UA"/>
        </w:rPr>
        <w:t xml:space="preserve"> з крони встановлюється рентна плата у розмірі 40 відсотків, а за порубкові залишки, що підлягають використанню, - 20 відсотків ставок рентної плати за дров’яну деревину відповідної лісової породи.</w:t>
      </w:r>
    </w:p>
    <w:p w14:paraId="2C4D56D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 xml:space="preserve">На деревину, заготовлену під час вибіркових рубок головного користування ставки рентної плати знижуються на 20 відсотків, а заходів щодо поліпшення якісного складу лісів, їх оздоровлення, посилення захисних властивостей (у </w:t>
      </w:r>
      <w:proofErr w:type="spellStart"/>
      <w:r w:rsidRPr="00F73884">
        <w:rPr>
          <w:rFonts w:ascii="Times New Roman" w:eastAsia="Times New Roman" w:hAnsi="Times New Roman" w:cs="Times New Roman"/>
          <w:color w:val="212529"/>
          <w:sz w:val="24"/>
          <w:szCs w:val="24"/>
          <w:lang w:eastAsia="uk-UA"/>
        </w:rPr>
        <w:t>деревостанах</w:t>
      </w:r>
      <w:proofErr w:type="spellEnd"/>
      <w:r w:rsidRPr="00F73884">
        <w:rPr>
          <w:rFonts w:ascii="Times New Roman" w:eastAsia="Times New Roman" w:hAnsi="Times New Roman" w:cs="Times New Roman"/>
          <w:color w:val="212529"/>
          <w:sz w:val="24"/>
          <w:szCs w:val="24"/>
          <w:lang w:eastAsia="uk-UA"/>
        </w:rPr>
        <w:t xml:space="preserve">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 на 50 відсотків. Знижки у відсотках обчислюються за кожною ставкою рентної плати окремо.</w:t>
      </w:r>
    </w:p>
    <w:p w14:paraId="2E0A1CA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256.10. За заготівлю другорядних лісових матеріалів, здійснення побічних лісових користувань та використання корисних властивостей лісів ставки рентної плати встановлюються Верховною Радою Автономної Республіки Крим, обласними, Київською та Севастопольською міськими радами.</w:t>
      </w:r>
    </w:p>
    <w:p w14:paraId="54F9E74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 Порядок нарахування податкових зобов’язань з рентної плати за спеціальне використання лісових ресурсів</w:t>
      </w:r>
    </w:p>
    <w:p w14:paraId="122A092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256.11.1. Сума рентної плати обчислюється суб’єктами лісових відносин, які видають спеціальні дозволи, і зазначається у таких дозволах.</w:t>
      </w:r>
    </w:p>
    <w:p w14:paraId="71AEC54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256.11.2. Сума рентної плати, зазначена в лісорубному та в лісовому квитках, підлягає перерахунку суб’єктом лісових відносин, який видає спеціальні дозволи, у разі коли:</w:t>
      </w:r>
    </w:p>
    <w:p w14:paraId="58D3555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загальна кількість фактично заготовленої деревини під час її відпуску з обліком за площею перевищує зазначену в лісорубному квитку та кількість більше ніж на 10 відсотків;</w:t>
      </w:r>
    </w:p>
    <w:p w14:paraId="3E7EB484"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фактичний обсяг використання лісових ресурсів перевищує зазначений у лісовому квитку на весь обсяг такого перевищення.</w:t>
      </w:r>
    </w:p>
    <w:p w14:paraId="1DDFFCB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Підставою для перерахунку є спеціальні дозволи та акти огляду місць використання лісових ресурсів.</w:t>
      </w:r>
    </w:p>
    <w:p w14:paraId="34EF3E11"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256.11.3. Суб’єктом лісових відносин, який видає спеціальні дозволи, перерахунок рентної плати за заготівлю деревини і заготівлю другорядних лісових матеріалів, побічні лісові користування та використання корисних властивостей лісів здійснюється також у разі:</w:t>
      </w:r>
    </w:p>
    <w:p w14:paraId="592CEB7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 виправлення технічних помилок, які можуть бути допущені під час проведення матеріальної і грошової оцінки лісосік, другорядних лісових матеріалів, побічних лісових користувань та використання корисних властивостей лісів, відпущених за лісорубними квитками або лісовими квитками, неправильного застосування сортиментних таблиць, поясів, розрядів та ставок рентної плати, а також виправлення арифметичних помилок, допущених під час підрахунків;</w:t>
      </w:r>
    </w:p>
    <w:p w14:paraId="2B53080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 анулювання лісорубного та/або лісового квитка у зв’язку з вилученням земель для інших потреб. В інших випадках анулювання або видачі дубліката лісорубного квитка та/або лісового квитка перерахунок рентної плати не здійснюється і вся нарахована за такими квитками сума рентної плати повністю сплачується до відповідних бюджетів;</w:t>
      </w:r>
    </w:p>
    <w:p w14:paraId="2B67EAC8"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в) надання лісокористувачеві відстрочки:</w:t>
      </w:r>
    </w:p>
    <w:p w14:paraId="4CA6C64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на заготівлю деревини - сума рентної плати за заготівлю залишеної на пні деревини збільшується на 1,5 відсотка незалежно від строку, на який надано відстрочку;</w:t>
      </w:r>
    </w:p>
    <w:p w14:paraId="3510B66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на вивезення деревини - сума рентної плати за невивезену вчасно деревину збільшується на 1,5 відсотка за кожний місяць відстрочки;</w:t>
      </w:r>
    </w:p>
    <w:p w14:paraId="5D31905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г) додаткового продовження строку вивезення, але не більш як на три місяці. При цьому лісокористувачем сума рентної плати за обсяг невивезеної вчасно деревини збільшується на 5 відсотків за кожний місяць відстрочки.</w:t>
      </w:r>
    </w:p>
    <w:p w14:paraId="517C138E"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256.11.4. Незалежно від способу обліку деревини, що відпускається на пні (за площею, пеньками, приблизною кількістю), лісокористувачі, які допустили неповну заготівлю деревини, що дозволена для вирубки за виписаними лісорубними квитками, або взагалі її не проводили, рентну плату обчислюють і сплачують повністю за всю дозволену для заготівлі кількість деревини, що зазначена в дозволі.</w:t>
      </w:r>
    </w:p>
    <w:p w14:paraId="20070B46"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256.11.5. Лісокористувачі, у яких за результатами діяльності здійснюється перерахунок рентної плати, відображають донараховані суми рентної плати в податковій декларації.</w:t>
      </w:r>
    </w:p>
    <w:p w14:paraId="49484A5B"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256.11.6. Лісокористувачі щокварталу складають податкову декларацію з рентної плати наростаючим підсумком з початку року, за винятком:</w:t>
      </w:r>
    </w:p>
    <w:p w14:paraId="75595B4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а) лісокористувачів, якими до отримання лісорубних та лісових квитків рентна плата вноситься в каси суб’єктів лісових відносин, які їх видають:</w:t>
      </w:r>
    </w:p>
    <w:p w14:paraId="00107570"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фізичних осіб, а також фізичних осіб - підприємців, яким видано лісорубні та лісові квитки;</w:t>
      </w:r>
    </w:p>
    <w:p w14:paraId="127602DC"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лісокористувачів (крім фізичних осіб, а також фізичних осіб - підприємців, яким видано лісові квитки), у яких сума рентної плати в лісорубному чи лісовому квитках не перевищує 25 відсотків однієї мінімальної заробітної плати, встановленої законом на 1 січня року, в якому сплачується рентна плата;</w:t>
      </w:r>
    </w:p>
    <w:p w14:paraId="54587C1A"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б) лісокористувачів з іншої області, які сплачують рентну плату повністю до видачі їм спеціального дозволу за місцезнаходженням лісової ділянки, на якій здійснюється заготівля деревини.</w:t>
      </w:r>
    </w:p>
    <w:p w14:paraId="619DD232"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lastRenderedPageBreak/>
        <w:t>256.11.7. Про надходження суми рентної плати в касу суб’єкта лісових відносин, що видає спеціальні дозволи, у спеціально заведеній книзі робиться запис і лісокористувачеві видається квитанція. Одночасно в лісорубних та лісових квитках робиться позначка про сплату рентної плати в касу (зазначаються номер і дата квитанції про сплату).</w:t>
      </w:r>
    </w:p>
    <w:p w14:paraId="7E95AD3D"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256.11.8. При отриманні дозволу в поточному році (або донарахуванні суми рентної плати) після чергового строку сплати рентної плати лісокористувачі сплачують усі суми рентної плати за строками, що минули.</w:t>
      </w:r>
    </w:p>
    <w:p w14:paraId="4F23FEA3" w14:textId="77777777" w:rsidR="00F73884" w:rsidRPr="00F73884" w:rsidRDefault="00F73884" w:rsidP="00F73884">
      <w:pPr>
        <w:shd w:val="clear" w:color="auto" w:fill="FFFFFF"/>
        <w:spacing w:after="100" w:afterAutospacing="1" w:line="240" w:lineRule="auto"/>
        <w:rPr>
          <w:rFonts w:ascii="Times New Roman" w:eastAsia="Times New Roman" w:hAnsi="Times New Roman" w:cs="Times New Roman"/>
          <w:color w:val="212529"/>
          <w:sz w:val="24"/>
          <w:szCs w:val="24"/>
          <w:lang w:eastAsia="uk-UA"/>
        </w:rPr>
      </w:pPr>
      <w:r w:rsidRPr="00F73884">
        <w:rPr>
          <w:rFonts w:ascii="Times New Roman" w:eastAsia="Times New Roman" w:hAnsi="Times New Roman" w:cs="Times New Roman"/>
          <w:color w:val="212529"/>
          <w:sz w:val="24"/>
          <w:szCs w:val="24"/>
          <w:lang w:eastAsia="uk-UA"/>
        </w:rPr>
        <w:t>256.12. Порядок подання декларації, строки сплати, відповідальність платників рентної плати та контроль за її справлянням визначено </w:t>
      </w:r>
      <w:hyperlink r:id="rId4" w:tgtFrame="_blank" w:history="1">
        <w:r w:rsidRPr="00F73884">
          <w:rPr>
            <w:rFonts w:ascii="Times New Roman" w:eastAsia="Times New Roman" w:hAnsi="Times New Roman" w:cs="Times New Roman"/>
            <w:color w:val="007BFF"/>
            <w:sz w:val="24"/>
            <w:szCs w:val="24"/>
            <w:u w:val="single"/>
            <w:lang w:eastAsia="uk-UA"/>
          </w:rPr>
          <w:t>статтями 257</w:t>
        </w:r>
      </w:hyperlink>
      <w:r w:rsidRPr="00F73884">
        <w:rPr>
          <w:rFonts w:ascii="Times New Roman" w:eastAsia="Times New Roman" w:hAnsi="Times New Roman" w:cs="Times New Roman"/>
          <w:color w:val="212529"/>
          <w:sz w:val="24"/>
          <w:szCs w:val="24"/>
          <w:lang w:eastAsia="uk-UA"/>
        </w:rPr>
        <w:t> і </w:t>
      </w:r>
      <w:hyperlink r:id="rId5" w:tgtFrame="_blank" w:history="1">
        <w:r w:rsidRPr="00F73884">
          <w:rPr>
            <w:rFonts w:ascii="Times New Roman" w:eastAsia="Times New Roman" w:hAnsi="Times New Roman" w:cs="Times New Roman"/>
            <w:color w:val="007BFF"/>
            <w:sz w:val="24"/>
            <w:szCs w:val="24"/>
            <w:u w:val="single"/>
            <w:lang w:eastAsia="uk-UA"/>
          </w:rPr>
          <w:t>258 цього Кодексу</w:t>
        </w:r>
      </w:hyperlink>
      <w:r w:rsidRPr="00F73884">
        <w:rPr>
          <w:rFonts w:ascii="Times New Roman" w:eastAsia="Times New Roman" w:hAnsi="Times New Roman" w:cs="Times New Roman"/>
          <w:color w:val="212529"/>
          <w:sz w:val="24"/>
          <w:szCs w:val="24"/>
          <w:lang w:eastAsia="uk-UA"/>
        </w:rPr>
        <w:t>.</w:t>
      </w:r>
    </w:p>
    <w:p w14:paraId="32EC8842" w14:textId="77777777" w:rsidR="00F73884" w:rsidRPr="00F73884" w:rsidRDefault="00F73884" w:rsidP="00F73884">
      <w:pPr>
        <w:shd w:val="clear" w:color="auto" w:fill="FFFFFF"/>
        <w:spacing w:before="300" w:after="100" w:afterAutospacing="1" w:line="240" w:lineRule="auto"/>
        <w:rPr>
          <w:rFonts w:ascii="Times New Roman" w:eastAsia="Times New Roman" w:hAnsi="Times New Roman" w:cs="Times New Roman"/>
          <w:sz w:val="24"/>
          <w:szCs w:val="24"/>
          <w:lang w:eastAsia="uk-UA"/>
        </w:rPr>
      </w:pPr>
      <w:proofErr w:type="spellStart"/>
      <w:r w:rsidRPr="00F73884">
        <w:rPr>
          <w:rFonts w:ascii="Times New Roman" w:eastAsia="Times New Roman" w:hAnsi="Times New Roman" w:cs="Times New Roman"/>
          <w:sz w:val="24"/>
          <w:szCs w:val="24"/>
          <w:lang w:eastAsia="uk-UA"/>
        </w:rPr>
        <w:t>Ст</w:t>
      </w:r>
      <w:proofErr w:type="spellEnd"/>
      <w:r w:rsidRPr="00F73884">
        <w:rPr>
          <w:rFonts w:ascii="Times New Roman" w:eastAsia="Times New Roman" w:hAnsi="Times New Roman" w:cs="Times New Roman"/>
          <w:sz w:val="24"/>
          <w:szCs w:val="24"/>
          <w:lang w:eastAsia="uk-UA"/>
        </w:rPr>
        <w:t xml:space="preserve"> 256 ПКУ зі змінами 2023 рік (Податковий кодекс України, ПК України) №2755-VI від 02.12.2010, редакція від 01.01.2022</w:t>
      </w:r>
    </w:p>
    <w:p w14:paraId="37342C09" w14:textId="77777777" w:rsidR="00F73884" w:rsidRPr="00F73884" w:rsidRDefault="00F73884" w:rsidP="00F73884">
      <w:pPr>
        <w:spacing w:after="100" w:afterAutospacing="1" w:line="240" w:lineRule="auto"/>
        <w:rPr>
          <w:rFonts w:ascii="Times New Roman" w:eastAsia="Times New Roman" w:hAnsi="Times New Roman" w:cs="Times New Roman"/>
          <w:sz w:val="24"/>
          <w:szCs w:val="24"/>
          <w:lang w:eastAsia="uk-UA"/>
        </w:rPr>
      </w:pPr>
      <w:r w:rsidRPr="00F73884">
        <w:rPr>
          <w:rFonts w:ascii="Times New Roman" w:eastAsia="Times New Roman" w:hAnsi="Times New Roman" w:cs="Times New Roman"/>
          <w:sz w:val="24"/>
          <w:szCs w:val="24"/>
          <w:lang w:eastAsia="uk-UA"/>
        </w:rPr>
        <w:t>Детальніше: </w:t>
      </w:r>
      <w:hyperlink r:id="rId6" w:history="1">
        <w:r w:rsidRPr="00F73884">
          <w:rPr>
            <w:rFonts w:ascii="Times New Roman" w:eastAsia="Times New Roman" w:hAnsi="Times New Roman" w:cs="Times New Roman"/>
            <w:color w:val="007BFF"/>
            <w:sz w:val="24"/>
            <w:szCs w:val="24"/>
            <w:u w:val="single"/>
            <w:lang w:eastAsia="uk-UA"/>
          </w:rPr>
          <w:t>https://urst.com.ua/pku/st-256</w:t>
        </w:r>
      </w:hyperlink>
    </w:p>
    <w:p w14:paraId="737B1A70" w14:textId="77777777" w:rsidR="00D44549" w:rsidRPr="00F73884" w:rsidRDefault="00D44549">
      <w:pPr>
        <w:rPr>
          <w:rFonts w:ascii="Times New Roman" w:hAnsi="Times New Roman" w:cs="Times New Roman"/>
          <w:sz w:val="24"/>
          <w:szCs w:val="24"/>
        </w:rPr>
      </w:pPr>
    </w:p>
    <w:sectPr w:rsidR="00D44549" w:rsidRPr="00F738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84"/>
    <w:rsid w:val="005D6A83"/>
    <w:rsid w:val="00CE3645"/>
    <w:rsid w:val="00D4344A"/>
    <w:rsid w:val="00D44549"/>
    <w:rsid w:val="00F738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828B"/>
  <w15:chartTrackingRefBased/>
  <w15:docId w15:val="{1C276D62-1114-4EDA-8A71-72EDD1C6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73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88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738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F73884"/>
    <w:rPr>
      <w:color w:val="0000FF"/>
      <w:u w:val="single"/>
    </w:rPr>
  </w:style>
  <w:style w:type="paragraph" w:customStyle="1" w:styleId="text-secondary">
    <w:name w:val="text-secondary"/>
    <w:basedOn w:val="a"/>
    <w:rsid w:val="00F7388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582">
      <w:bodyDiv w:val="1"/>
      <w:marLeft w:val="0"/>
      <w:marRight w:val="0"/>
      <w:marTop w:val="0"/>
      <w:marBottom w:val="0"/>
      <w:divBdr>
        <w:top w:val="none" w:sz="0" w:space="0" w:color="auto"/>
        <w:left w:val="none" w:sz="0" w:space="0" w:color="auto"/>
        <w:bottom w:val="none" w:sz="0" w:space="0" w:color="auto"/>
        <w:right w:val="none" w:sz="0" w:space="0" w:color="auto"/>
      </w:divBdr>
      <w:divsChild>
        <w:div w:id="64836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st.com.ua/pku/st-256" TargetMode="External"/><Relationship Id="rId5" Type="http://schemas.openxmlformats.org/officeDocument/2006/relationships/hyperlink" Target="https://urst.com.ua/pku/st-258" TargetMode="External"/><Relationship Id="rId4" Type="http://schemas.openxmlformats.org/officeDocument/2006/relationships/hyperlink" Target="https://urst.com.ua/pku/st-25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8207</Words>
  <Characters>4679</Characters>
  <Application>Microsoft Office Word</Application>
  <DocSecurity>0</DocSecurity>
  <Lines>38</Lines>
  <Paragraphs>25</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2023-12-10T15:12:00Z</dcterms:created>
  <dcterms:modified xsi:type="dcterms:W3CDTF">2023-12-10T15:15:00Z</dcterms:modified>
</cp:coreProperties>
</file>