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92FD4" w14:textId="77777777" w:rsidR="00856AB8" w:rsidRPr="00856AB8" w:rsidRDefault="00856AB8" w:rsidP="00856AB8">
      <w:pPr>
        <w:pStyle w:val="21"/>
        <w:framePr w:w="9701" w:h="14874" w:hRule="exact" w:wrap="none" w:vAnchor="page" w:hAnchor="page" w:x="1544" w:y="1167"/>
        <w:shd w:val="clear" w:color="auto" w:fill="auto"/>
        <w:spacing w:after="302" w:line="260" w:lineRule="exact"/>
        <w:ind w:left="720"/>
        <w:jc w:val="left"/>
        <w:rPr>
          <w:sz w:val="24"/>
          <w:szCs w:val="24"/>
        </w:rPr>
      </w:pPr>
      <w:r w:rsidRPr="00856AB8">
        <w:rPr>
          <w:sz w:val="24"/>
          <w:szCs w:val="24"/>
        </w:rPr>
        <w:t>ЛЕКЦІЯ 5. ПОДАТКО НА МАЙНО</w:t>
      </w:r>
    </w:p>
    <w:p w14:paraId="2508427E" w14:textId="77777777" w:rsidR="00856AB8" w:rsidRDefault="00856AB8" w:rsidP="00856AB8">
      <w:pPr>
        <w:framePr w:w="9701" w:h="14874" w:hRule="exact" w:wrap="none" w:vAnchor="page" w:hAnchor="page" w:x="1544" w:y="1167"/>
        <w:numPr>
          <w:ilvl w:val="1"/>
          <w:numId w:val="14"/>
        </w:numPr>
        <w:tabs>
          <w:tab w:val="left" w:pos="580"/>
        </w:tabs>
        <w:spacing w:line="317" w:lineRule="exact"/>
        <w:jc w:val="both"/>
        <w:rPr>
          <w:rFonts w:ascii="Times New Roman" w:hAnsi="Times New Roman" w:cs="Times New Roman"/>
          <w:color w:val="auto"/>
        </w:rPr>
      </w:pPr>
      <w:r w:rsidRPr="00856AB8">
        <w:rPr>
          <w:rFonts w:ascii="Times New Roman" w:hAnsi="Times New Roman" w:cs="Times New Roman"/>
          <w:color w:val="auto"/>
        </w:rPr>
        <w:t>Податок на нерухоме майно відмінне від земельної ділянки.</w:t>
      </w:r>
      <w:r w:rsidRPr="00856AB8">
        <w:rPr>
          <w:rFonts w:ascii="Times New Roman" w:hAnsi="Times New Roman" w:cs="Times New Roman"/>
          <w:color w:val="auto"/>
        </w:rPr>
        <w:t xml:space="preserve"> </w:t>
      </w:r>
    </w:p>
    <w:p w14:paraId="5E102673" w14:textId="014DE9A0" w:rsidR="00856AB8" w:rsidRPr="00856AB8" w:rsidRDefault="00856AB8" w:rsidP="00856AB8">
      <w:pPr>
        <w:framePr w:w="9701" w:h="14874" w:hRule="exact" w:wrap="none" w:vAnchor="page" w:hAnchor="page" w:x="1544" w:y="1167"/>
        <w:numPr>
          <w:ilvl w:val="1"/>
          <w:numId w:val="14"/>
        </w:numPr>
        <w:tabs>
          <w:tab w:val="left" w:pos="580"/>
        </w:tabs>
        <w:spacing w:line="317" w:lineRule="exact"/>
        <w:jc w:val="both"/>
        <w:rPr>
          <w:rFonts w:ascii="Times New Roman" w:hAnsi="Times New Roman" w:cs="Times New Roman"/>
          <w:color w:val="auto"/>
        </w:rPr>
      </w:pPr>
      <w:r w:rsidRPr="00856AB8">
        <w:rPr>
          <w:rFonts w:ascii="Times New Roman" w:hAnsi="Times New Roman" w:cs="Times New Roman"/>
          <w:color w:val="auto"/>
        </w:rPr>
        <w:t>Транспортний податок</w:t>
      </w:r>
    </w:p>
    <w:p w14:paraId="2CA002A3" w14:textId="77777777" w:rsidR="00856AB8" w:rsidRPr="00856AB8" w:rsidRDefault="00856AB8" w:rsidP="00856AB8">
      <w:pPr>
        <w:framePr w:w="9701" w:h="14874" w:hRule="exact" w:wrap="none" w:vAnchor="page" w:hAnchor="page" w:x="1544" w:y="1167"/>
        <w:numPr>
          <w:ilvl w:val="1"/>
          <w:numId w:val="14"/>
        </w:numPr>
        <w:tabs>
          <w:tab w:val="left" w:pos="580"/>
        </w:tabs>
        <w:spacing w:line="317" w:lineRule="exact"/>
        <w:jc w:val="both"/>
        <w:rPr>
          <w:rFonts w:ascii="Times New Roman" w:hAnsi="Times New Roman" w:cs="Times New Roman"/>
          <w:color w:val="auto"/>
        </w:rPr>
      </w:pPr>
      <w:r w:rsidRPr="00856AB8">
        <w:rPr>
          <w:rFonts w:ascii="Times New Roman" w:hAnsi="Times New Roman" w:cs="Times New Roman"/>
          <w:color w:val="auto"/>
        </w:rPr>
        <w:t>Збір за місця паркування транспортних засобів</w:t>
      </w:r>
    </w:p>
    <w:p w14:paraId="11920088" w14:textId="77777777" w:rsidR="00856AB8" w:rsidRPr="00856AB8" w:rsidRDefault="00856AB8" w:rsidP="00856AB8">
      <w:pPr>
        <w:framePr w:w="9701" w:h="14874" w:hRule="exact" w:wrap="none" w:vAnchor="page" w:hAnchor="page" w:x="1544" w:y="1167"/>
        <w:numPr>
          <w:ilvl w:val="1"/>
          <w:numId w:val="14"/>
        </w:numPr>
        <w:tabs>
          <w:tab w:val="left" w:pos="580"/>
        </w:tabs>
        <w:spacing w:line="317" w:lineRule="exact"/>
        <w:jc w:val="both"/>
        <w:rPr>
          <w:rFonts w:ascii="Times New Roman" w:hAnsi="Times New Roman" w:cs="Times New Roman"/>
          <w:color w:val="auto"/>
        </w:rPr>
      </w:pPr>
      <w:r w:rsidRPr="00856AB8">
        <w:rPr>
          <w:rFonts w:ascii="Times New Roman" w:hAnsi="Times New Roman" w:cs="Times New Roman"/>
          <w:color w:val="auto"/>
        </w:rPr>
        <w:t>Туристичний збір</w:t>
      </w:r>
    </w:p>
    <w:p w14:paraId="292B28AA" w14:textId="77777777" w:rsidR="00856AB8" w:rsidRPr="00856AB8" w:rsidRDefault="00856AB8" w:rsidP="00856AB8">
      <w:pPr>
        <w:framePr w:w="9701" w:h="14874" w:hRule="exact" w:wrap="none" w:vAnchor="page" w:hAnchor="page" w:x="1544" w:y="1167"/>
        <w:numPr>
          <w:ilvl w:val="1"/>
          <w:numId w:val="14"/>
        </w:numPr>
        <w:tabs>
          <w:tab w:val="left" w:pos="580"/>
        </w:tabs>
        <w:spacing w:after="346" w:line="317" w:lineRule="exact"/>
        <w:jc w:val="both"/>
        <w:rPr>
          <w:rFonts w:ascii="Times New Roman" w:hAnsi="Times New Roman" w:cs="Times New Roman"/>
          <w:color w:val="auto"/>
        </w:rPr>
      </w:pPr>
      <w:bookmarkStart w:id="0" w:name="bookmark80"/>
      <w:r w:rsidRPr="00856AB8">
        <w:rPr>
          <w:rFonts w:ascii="Times New Roman" w:hAnsi="Times New Roman" w:cs="Times New Roman"/>
          <w:color w:val="auto"/>
        </w:rPr>
        <w:t>Податок на землю</w:t>
      </w:r>
      <w:bookmarkEnd w:id="0"/>
    </w:p>
    <w:p w14:paraId="7AFC9468" w14:textId="77C3D1A1" w:rsidR="00856AB8" w:rsidRPr="00856AB8" w:rsidRDefault="00856AB8" w:rsidP="00856AB8">
      <w:pPr>
        <w:framePr w:w="9701" w:h="14874" w:hRule="exact" w:wrap="none" w:vAnchor="page" w:hAnchor="page" w:x="1544" w:y="1167"/>
        <w:tabs>
          <w:tab w:val="left" w:pos="816"/>
        </w:tabs>
        <w:spacing w:line="260" w:lineRule="exact"/>
        <w:ind w:left="360"/>
        <w:jc w:val="both"/>
        <w:rPr>
          <w:rFonts w:ascii="Times New Roman" w:hAnsi="Times New Roman" w:cs="Times New Roman"/>
          <w:color w:val="auto"/>
        </w:rPr>
      </w:pPr>
    </w:p>
    <w:p w14:paraId="46D6430E" w14:textId="77777777" w:rsidR="00856AB8" w:rsidRPr="00856AB8" w:rsidRDefault="00856AB8" w:rsidP="00856AB8">
      <w:pPr>
        <w:rPr>
          <w:rFonts w:ascii="Times New Roman" w:hAnsi="Times New Roman" w:cs="Times New Roman"/>
          <w:color w:val="auto"/>
        </w:rPr>
        <w:sectPr w:rsidR="00856AB8" w:rsidRPr="00856AB8">
          <w:pgSz w:w="11900" w:h="16840"/>
          <w:pgMar w:top="360" w:right="360" w:bottom="360" w:left="360" w:header="0" w:footer="3" w:gutter="0"/>
          <w:cols w:space="720"/>
          <w:noEndnote/>
          <w:docGrid w:linePitch="360"/>
        </w:sectPr>
      </w:pPr>
    </w:p>
    <w:p w14:paraId="67A98F63" w14:textId="77777777" w:rsidR="00856AB8" w:rsidRPr="00856AB8" w:rsidRDefault="00856AB8" w:rsidP="00856AB8">
      <w:pPr>
        <w:pStyle w:val="21"/>
        <w:framePr w:w="9701" w:h="14510" w:hRule="exact" w:wrap="none" w:vAnchor="page" w:hAnchor="page" w:x="1441" w:y="960"/>
        <w:numPr>
          <w:ilvl w:val="1"/>
          <w:numId w:val="15"/>
        </w:numPr>
        <w:shd w:val="clear" w:color="auto" w:fill="auto"/>
        <w:tabs>
          <w:tab w:val="left" w:pos="1393"/>
        </w:tabs>
        <w:spacing w:after="308" w:line="260" w:lineRule="exact"/>
        <w:jc w:val="both"/>
        <w:rPr>
          <w:sz w:val="24"/>
          <w:szCs w:val="24"/>
        </w:rPr>
      </w:pPr>
      <w:bookmarkStart w:id="1" w:name="bookmark81"/>
      <w:r w:rsidRPr="00856AB8">
        <w:rPr>
          <w:sz w:val="24"/>
          <w:szCs w:val="24"/>
        </w:rPr>
        <w:lastRenderedPageBreak/>
        <w:t>Податок на нерухоме майно відмінне від земельної ділянки</w:t>
      </w:r>
      <w:bookmarkEnd w:id="1"/>
    </w:p>
    <w:p w14:paraId="6EEEB10A" w14:textId="77777777" w:rsidR="00856AB8" w:rsidRPr="00856AB8" w:rsidRDefault="00856AB8" w:rsidP="00856AB8">
      <w:pPr>
        <w:framePr w:w="9701" w:h="14510" w:hRule="exact" w:wrap="none" w:vAnchor="page" w:hAnchor="page" w:x="1441" w:y="960"/>
        <w:spacing w:line="322" w:lineRule="exact"/>
        <w:ind w:firstLine="600"/>
        <w:rPr>
          <w:rFonts w:ascii="Times New Roman" w:hAnsi="Times New Roman" w:cs="Times New Roman"/>
          <w:color w:val="auto"/>
        </w:rPr>
      </w:pPr>
      <w:r w:rsidRPr="00856AB8">
        <w:rPr>
          <w:rStyle w:val="22"/>
          <w:rFonts w:eastAsia="Microsoft Sans Serif"/>
          <w:color w:val="auto"/>
          <w:sz w:val="24"/>
          <w:szCs w:val="24"/>
        </w:rPr>
        <w:t xml:space="preserve">Платниками податку є </w:t>
      </w:r>
      <w:r w:rsidRPr="00856AB8">
        <w:rPr>
          <w:rFonts w:ascii="Times New Roman" w:hAnsi="Times New Roman" w:cs="Times New Roman"/>
          <w:color w:val="auto"/>
        </w:rPr>
        <w:t>фізичні та юридичні особи, в тому числі нерезиденти, які є власниками об’єктів житлової та/або нежитлової нерухомості.</w:t>
      </w:r>
    </w:p>
    <w:p w14:paraId="560AB1EF" w14:textId="77777777" w:rsidR="00856AB8" w:rsidRPr="00856AB8" w:rsidRDefault="00856AB8" w:rsidP="00856AB8">
      <w:pPr>
        <w:framePr w:w="9701" w:h="14510" w:hRule="exact" w:wrap="none" w:vAnchor="page" w:hAnchor="page" w:x="1441" w:y="960"/>
        <w:spacing w:line="322" w:lineRule="exact"/>
        <w:ind w:firstLine="600"/>
        <w:rPr>
          <w:rFonts w:ascii="Times New Roman" w:hAnsi="Times New Roman" w:cs="Times New Roman"/>
          <w:color w:val="auto"/>
        </w:rPr>
      </w:pPr>
      <w:r w:rsidRPr="00856AB8">
        <w:rPr>
          <w:rStyle w:val="22"/>
          <w:rFonts w:eastAsia="Microsoft Sans Serif"/>
          <w:color w:val="auto"/>
          <w:sz w:val="24"/>
          <w:szCs w:val="24"/>
        </w:rPr>
        <w:t xml:space="preserve">Об’єктом оподаткування </w:t>
      </w:r>
      <w:r w:rsidRPr="00856AB8">
        <w:rPr>
          <w:rFonts w:ascii="Times New Roman" w:hAnsi="Times New Roman" w:cs="Times New Roman"/>
          <w:color w:val="auto"/>
        </w:rPr>
        <w:t>є об’єкт житлової та нежитлової нерухомості, в тому числі його частка.</w:t>
      </w:r>
    </w:p>
    <w:p w14:paraId="73590DD7" w14:textId="77777777" w:rsidR="00856AB8" w:rsidRPr="00856AB8" w:rsidRDefault="00856AB8" w:rsidP="00856AB8">
      <w:pPr>
        <w:pStyle w:val="30"/>
        <w:framePr w:w="9701" w:h="14510" w:hRule="exact" w:wrap="none" w:vAnchor="page" w:hAnchor="page" w:x="1441" w:y="960"/>
        <w:shd w:val="clear" w:color="auto" w:fill="auto"/>
        <w:spacing w:before="0" w:after="0" w:line="322" w:lineRule="exact"/>
        <w:ind w:firstLine="600"/>
        <w:jc w:val="left"/>
        <w:rPr>
          <w:sz w:val="24"/>
          <w:szCs w:val="24"/>
        </w:rPr>
      </w:pPr>
      <w:r w:rsidRPr="00856AB8">
        <w:rPr>
          <w:sz w:val="24"/>
          <w:szCs w:val="24"/>
        </w:rPr>
        <w:t>Не є об’єктом оподаткування:</w:t>
      </w:r>
    </w:p>
    <w:p w14:paraId="3A74E026" w14:textId="77777777" w:rsidR="00856AB8" w:rsidRPr="00856AB8" w:rsidRDefault="00856AB8" w:rsidP="00856AB8">
      <w:pPr>
        <w:framePr w:w="9701" w:h="14510" w:hRule="exact" w:wrap="none" w:vAnchor="page" w:hAnchor="page" w:x="1441" w:y="960"/>
        <w:numPr>
          <w:ilvl w:val="0"/>
          <w:numId w:val="1"/>
        </w:numPr>
        <w:tabs>
          <w:tab w:val="left" w:pos="500"/>
        </w:tabs>
        <w:spacing w:line="322" w:lineRule="exact"/>
        <w:jc w:val="both"/>
        <w:rPr>
          <w:rFonts w:ascii="Times New Roman" w:hAnsi="Times New Roman" w:cs="Times New Roman"/>
          <w:color w:val="auto"/>
        </w:rPr>
      </w:pPr>
      <w:r w:rsidRPr="00856AB8">
        <w:rPr>
          <w:rFonts w:ascii="Times New Roman" w:hAnsi="Times New Roman" w:cs="Times New Roman"/>
          <w:color w:val="auto"/>
        </w:rPr>
        <w:t>об’єкти житлової та нежитлової нерухомості, які перебувають у власності органів державної влади, органів місцевого самоврядування, а також організацій, створених ними в установленому порядку, що повністю утримуються за рахунок відповідного державного бюджету чи місцевого бюджету і є неприбутковими (їх спільній власності);</w:t>
      </w:r>
    </w:p>
    <w:p w14:paraId="30C7F323" w14:textId="77777777" w:rsidR="00856AB8" w:rsidRPr="00856AB8" w:rsidRDefault="00856AB8" w:rsidP="00856AB8">
      <w:pPr>
        <w:framePr w:w="9701" w:h="14510" w:hRule="exact" w:wrap="none" w:vAnchor="page" w:hAnchor="page" w:x="1441" w:y="960"/>
        <w:numPr>
          <w:ilvl w:val="0"/>
          <w:numId w:val="1"/>
        </w:numPr>
        <w:tabs>
          <w:tab w:val="left" w:pos="500"/>
        </w:tabs>
        <w:spacing w:line="322" w:lineRule="exact"/>
        <w:jc w:val="both"/>
        <w:rPr>
          <w:rFonts w:ascii="Times New Roman" w:hAnsi="Times New Roman" w:cs="Times New Roman"/>
          <w:color w:val="auto"/>
        </w:rPr>
      </w:pPr>
      <w:r w:rsidRPr="00856AB8">
        <w:rPr>
          <w:rFonts w:ascii="Times New Roman" w:hAnsi="Times New Roman" w:cs="Times New Roman"/>
          <w:color w:val="auto"/>
        </w:rPr>
        <w:t>об’єкти житлової та нежитлової нерухомості, які розташовані в зонах відчуження та безумовного (обов’язкового) відселення, визначені законом, в тому числі їх частки;</w:t>
      </w:r>
    </w:p>
    <w:p w14:paraId="01C75DAF" w14:textId="77777777" w:rsidR="00856AB8" w:rsidRPr="00856AB8" w:rsidRDefault="00856AB8" w:rsidP="00856AB8">
      <w:pPr>
        <w:framePr w:w="9701" w:h="14510" w:hRule="exact" w:wrap="none" w:vAnchor="page" w:hAnchor="page" w:x="1441" w:y="960"/>
        <w:numPr>
          <w:ilvl w:val="0"/>
          <w:numId w:val="1"/>
        </w:numPr>
        <w:tabs>
          <w:tab w:val="left" w:pos="408"/>
        </w:tabs>
        <w:spacing w:line="322" w:lineRule="exact"/>
        <w:jc w:val="both"/>
        <w:rPr>
          <w:rFonts w:ascii="Times New Roman" w:hAnsi="Times New Roman" w:cs="Times New Roman"/>
          <w:color w:val="auto"/>
        </w:rPr>
      </w:pPr>
      <w:r w:rsidRPr="00856AB8">
        <w:rPr>
          <w:rFonts w:ascii="Times New Roman" w:hAnsi="Times New Roman" w:cs="Times New Roman"/>
          <w:color w:val="auto"/>
        </w:rPr>
        <w:t>будівлі дитячих будинків сімейного типу;</w:t>
      </w:r>
    </w:p>
    <w:p w14:paraId="5861BF7D" w14:textId="77777777" w:rsidR="00856AB8" w:rsidRPr="00856AB8" w:rsidRDefault="00856AB8" w:rsidP="00856AB8">
      <w:pPr>
        <w:framePr w:w="9701" w:h="14510" w:hRule="exact" w:wrap="none" w:vAnchor="page" w:hAnchor="page" w:x="1441" w:y="960"/>
        <w:numPr>
          <w:ilvl w:val="0"/>
          <w:numId w:val="1"/>
        </w:numPr>
        <w:tabs>
          <w:tab w:val="left" w:pos="408"/>
        </w:tabs>
        <w:spacing w:line="322" w:lineRule="exact"/>
        <w:jc w:val="both"/>
        <w:rPr>
          <w:rFonts w:ascii="Times New Roman" w:hAnsi="Times New Roman" w:cs="Times New Roman"/>
          <w:color w:val="auto"/>
        </w:rPr>
      </w:pPr>
      <w:r w:rsidRPr="00856AB8">
        <w:rPr>
          <w:rFonts w:ascii="Times New Roman" w:hAnsi="Times New Roman" w:cs="Times New Roman"/>
          <w:color w:val="auto"/>
        </w:rPr>
        <w:t>гуртожитки;</w:t>
      </w:r>
    </w:p>
    <w:p w14:paraId="38FC121A" w14:textId="77777777" w:rsidR="00856AB8" w:rsidRPr="00856AB8" w:rsidRDefault="00856AB8" w:rsidP="00856AB8">
      <w:pPr>
        <w:framePr w:w="9701" w:h="14510" w:hRule="exact" w:wrap="none" w:vAnchor="page" w:hAnchor="page" w:x="1441" w:y="960"/>
        <w:numPr>
          <w:ilvl w:val="0"/>
          <w:numId w:val="1"/>
        </w:numPr>
        <w:tabs>
          <w:tab w:val="left" w:pos="500"/>
        </w:tabs>
        <w:spacing w:line="322" w:lineRule="exact"/>
        <w:jc w:val="both"/>
        <w:rPr>
          <w:rFonts w:ascii="Times New Roman" w:hAnsi="Times New Roman" w:cs="Times New Roman"/>
          <w:color w:val="auto"/>
        </w:rPr>
      </w:pPr>
      <w:r w:rsidRPr="00856AB8">
        <w:rPr>
          <w:rFonts w:ascii="Times New Roman" w:hAnsi="Times New Roman" w:cs="Times New Roman"/>
          <w:color w:val="auto"/>
        </w:rPr>
        <w:t>житлова нерухомість непридатна для проживання, у тому числі у зв’язку з аварійним станом, визнана такою згідно з рішенням сільської, селищної, міської ради або ради об’єднаної територіальної громади, що створена згідно із законом та перспективним планом формування територій громад;</w:t>
      </w:r>
    </w:p>
    <w:p w14:paraId="394F4B4F" w14:textId="77777777" w:rsidR="00856AB8" w:rsidRPr="00856AB8" w:rsidRDefault="00856AB8" w:rsidP="00856AB8">
      <w:pPr>
        <w:framePr w:w="9701" w:h="14510" w:hRule="exact" w:wrap="none" w:vAnchor="page" w:hAnchor="page" w:x="1441" w:y="960"/>
        <w:numPr>
          <w:ilvl w:val="0"/>
          <w:numId w:val="1"/>
        </w:numPr>
        <w:tabs>
          <w:tab w:val="left" w:pos="500"/>
        </w:tabs>
        <w:spacing w:line="322" w:lineRule="exact"/>
        <w:jc w:val="both"/>
        <w:rPr>
          <w:rFonts w:ascii="Times New Roman" w:hAnsi="Times New Roman" w:cs="Times New Roman"/>
          <w:color w:val="auto"/>
        </w:rPr>
      </w:pPr>
      <w:r w:rsidRPr="00856AB8">
        <w:rPr>
          <w:rFonts w:ascii="Times New Roman" w:hAnsi="Times New Roman" w:cs="Times New Roman"/>
          <w:color w:val="auto"/>
        </w:rPr>
        <w:t>об’єкти житлової нерухомості, в тому числі їх частки, що належать дітям- сиротам, дітям, позбавленим батьківського піклування, та особам з їх числа, визнаним такими відповідно до закону, дітям-інвалідам, які виховуються одинокими матерями (батьками), але не більше одного такого об’єкта на дитину;</w:t>
      </w:r>
    </w:p>
    <w:p w14:paraId="3208E3B3" w14:textId="77777777" w:rsidR="00856AB8" w:rsidRPr="00856AB8" w:rsidRDefault="00856AB8" w:rsidP="00856AB8">
      <w:pPr>
        <w:framePr w:w="9701" w:h="14510" w:hRule="exact" w:wrap="none" w:vAnchor="page" w:hAnchor="page" w:x="1441" w:y="960"/>
        <w:numPr>
          <w:ilvl w:val="0"/>
          <w:numId w:val="1"/>
        </w:numPr>
        <w:tabs>
          <w:tab w:val="left" w:pos="500"/>
        </w:tabs>
        <w:spacing w:line="322" w:lineRule="exact"/>
        <w:jc w:val="both"/>
        <w:rPr>
          <w:rFonts w:ascii="Times New Roman" w:hAnsi="Times New Roman" w:cs="Times New Roman"/>
          <w:color w:val="auto"/>
        </w:rPr>
      </w:pPr>
      <w:r w:rsidRPr="00856AB8">
        <w:rPr>
          <w:rFonts w:ascii="Times New Roman" w:hAnsi="Times New Roman" w:cs="Times New Roman"/>
          <w:color w:val="auto"/>
        </w:rPr>
        <w:t>об’єкти нежитлової нерухомості, які використовуються суб’єктами господарювання малого та середнього бізнесу, що провадять свою діяльність в малих архітектурних формах та на ринках;</w:t>
      </w:r>
    </w:p>
    <w:p w14:paraId="1A14273E" w14:textId="77777777" w:rsidR="00856AB8" w:rsidRPr="00856AB8" w:rsidRDefault="00856AB8" w:rsidP="00856AB8">
      <w:pPr>
        <w:framePr w:w="9701" w:h="14510" w:hRule="exact" w:wrap="none" w:vAnchor="page" w:hAnchor="page" w:x="1441" w:y="960"/>
        <w:numPr>
          <w:ilvl w:val="0"/>
          <w:numId w:val="1"/>
        </w:numPr>
        <w:tabs>
          <w:tab w:val="left" w:pos="500"/>
        </w:tabs>
        <w:spacing w:line="322" w:lineRule="exact"/>
        <w:jc w:val="both"/>
        <w:rPr>
          <w:rFonts w:ascii="Times New Roman" w:hAnsi="Times New Roman" w:cs="Times New Roman"/>
          <w:color w:val="auto"/>
        </w:rPr>
      </w:pPr>
      <w:r w:rsidRPr="00856AB8">
        <w:rPr>
          <w:rFonts w:ascii="Times New Roman" w:hAnsi="Times New Roman" w:cs="Times New Roman"/>
          <w:color w:val="auto"/>
        </w:rPr>
        <w:t>будівлі промисловості, зокрема виробничі корпуси, цехи, складські приміщення промислових підприємств;</w:t>
      </w:r>
    </w:p>
    <w:p w14:paraId="12322781" w14:textId="77777777" w:rsidR="00856AB8" w:rsidRPr="00856AB8" w:rsidRDefault="00856AB8" w:rsidP="00856AB8">
      <w:pPr>
        <w:framePr w:w="9701" w:h="14510" w:hRule="exact" w:wrap="none" w:vAnchor="page" w:hAnchor="page" w:x="1441" w:y="960"/>
        <w:numPr>
          <w:ilvl w:val="0"/>
          <w:numId w:val="1"/>
        </w:numPr>
        <w:tabs>
          <w:tab w:val="left" w:pos="500"/>
        </w:tabs>
        <w:spacing w:line="322" w:lineRule="exact"/>
        <w:jc w:val="both"/>
        <w:rPr>
          <w:rFonts w:ascii="Times New Roman" w:hAnsi="Times New Roman" w:cs="Times New Roman"/>
          <w:color w:val="auto"/>
        </w:rPr>
      </w:pPr>
      <w:r w:rsidRPr="00856AB8">
        <w:rPr>
          <w:rFonts w:ascii="Times New Roman" w:hAnsi="Times New Roman" w:cs="Times New Roman"/>
          <w:color w:val="auto"/>
        </w:rPr>
        <w:t>будівлі, споруди сільськогосподарських товаровиробників, призначені для використання безпосередньо у сільськогосподарській діяльності;</w:t>
      </w:r>
    </w:p>
    <w:p w14:paraId="29223943" w14:textId="77777777" w:rsidR="00856AB8" w:rsidRPr="00856AB8" w:rsidRDefault="00856AB8" w:rsidP="00856AB8">
      <w:pPr>
        <w:framePr w:w="9701" w:h="14510" w:hRule="exact" w:wrap="none" w:vAnchor="page" w:hAnchor="page" w:x="1441" w:y="960"/>
        <w:numPr>
          <w:ilvl w:val="0"/>
          <w:numId w:val="1"/>
        </w:numPr>
        <w:tabs>
          <w:tab w:val="left" w:pos="619"/>
        </w:tabs>
        <w:spacing w:line="322" w:lineRule="exact"/>
        <w:jc w:val="both"/>
        <w:rPr>
          <w:rFonts w:ascii="Times New Roman" w:hAnsi="Times New Roman" w:cs="Times New Roman"/>
          <w:color w:val="auto"/>
        </w:rPr>
      </w:pPr>
      <w:r w:rsidRPr="00856AB8">
        <w:rPr>
          <w:rFonts w:ascii="Times New Roman" w:hAnsi="Times New Roman" w:cs="Times New Roman"/>
          <w:color w:val="auto"/>
        </w:rPr>
        <w:t>об’єкти житлової та нежитлової нерухомості, які перебувають у власності громадських організацій інвалідів та їх підприємств.</w:t>
      </w:r>
    </w:p>
    <w:p w14:paraId="20FB7810" w14:textId="77777777" w:rsidR="00856AB8" w:rsidRPr="00856AB8" w:rsidRDefault="00856AB8" w:rsidP="00856AB8">
      <w:pPr>
        <w:framePr w:w="9701" w:h="14510" w:hRule="exact" w:wrap="none" w:vAnchor="page" w:hAnchor="page" w:x="1441" w:y="960"/>
        <w:numPr>
          <w:ilvl w:val="0"/>
          <w:numId w:val="1"/>
        </w:numPr>
        <w:tabs>
          <w:tab w:val="left" w:pos="523"/>
        </w:tabs>
        <w:spacing w:line="322" w:lineRule="exact"/>
        <w:jc w:val="both"/>
        <w:rPr>
          <w:rFonts w:ascii="Times New Roman" w:hAnsi="Times New Roman" w:cs="Times New Roman"/>
          <w:color w:val="auto"/>
        </w:rPr>
      </w:pPr>
      <w:r w:rsidRPr="00856AB8">
        <w:rPr>
          <w:rFonts w:ascii="Times New Roman" w:hAnsi="Times New Roman" w:cs="Times New Roman"/>
          <w:color w:val="auto"/>
        </w:rPr>
        <w:t>об’єкти нерухомості, що перебувають у власності релігійних організацій;</w:t>
      </w:r>
    </w:p>
    <w:p w14:paraId="6A39C48B" w14:textId="77777777" w:rsidR="00856AB8" w:rsidRPr="00856AB8" w:rsidRDefault="00856AB8" w:rsidP="00856AB8">
      <w:pPr>
        <w:framePr w:w="9701" w:h="14510" w:hRule="exact" w:wrap="none" w:vAnchor="page" w:hAnchor="page" w:x="1441" w:y="960"/>
        <w:numPr>
          <w:ilvl w:val="0"/>
          <w:numId w:val="1"/>
        </w:numPr>
        <w:tabs>
          <w:tab w:val="left" w:pos="542"/>
        </w:tabs>
        <w:spacing w:line="322" w:lineRule="exact"/>
        <w:jc w:val="both"/>
        <w:rPr>
          <w:rFonts w:ascii="Times New Roman" w:hAnsi="Times New Roman" w:cs="Times New Roman"/>
          <w:color w:val="auto"/>
        </w:rPr>
      </w:pPr>
      <w:r w:rsidRPr="00856AB8">
        <w:rPr>
          <w:rFonts w:ascii="Times New Roman" w:hAnsi="Times New Roman" w:cs="Times New Roman"/>
          <w:color w:val="auto"/>
        </w:rPr>
        <w:t>будівлі дошкільних та загальноосвітніх навчальних закладів незалежно від форми власності та джерел фінансування, що використовуються для надання освітніх послуг.</w:t>
      </w:r>
    </w:p>
    <w:p w14:paraId="4535F451" w14:textId="77777777" w:rsidR="00856AB8" w:rsidRPr="00856AB8" w:rsidRDefault="00856AB8" w:rsidP="00856AB8">
      <w:pPr>
        <w:framePr w:w="9701" w:h="14510" w:hRule="exact" w:wrap="none" w:vAnchor="page" w:hAnchor="page" w:x="1441" w:y="960"/>
        <w:spacing w:line="322" w:lineRule="exact"/>
        <w:ind w:firstLine="600"/>
        <w:rPr>
          <w:rFonts w:ascii="Times New Roman" w:hAnsi="Times New Roman" w:cs="Times New Roman"/>
          <w:color w:val="auto"/>
        </w:rPr>
      </w:pPr>
      <w:r w:rsidRPr="00856AB8">
        <w:rPr>
          <w:rFonts w:ascii="Times New Roman" w:hAnsi="Times New Roman" w:cs="Times New Roman"/>
          <w:color w:val="auto"/>
        </w:rPr>
        <w:t>Базою оподаткування є загальна площа об’єкта житлової та нежитлової нерухомості, в тому числі його часток.</w:t>
      </w:r>
    </w:p>
    <w:p w14:paraId="41EAAFE0" w14:textId="77777777" w:rsidR="00856AB8" w:rsidRPr="00856AB8" w:rsidRDefault="00856AB8" w:rsidP="00856AB8">
      <w:pPr>
        <w:rPr>
          <w:rFonts w:ascii="Times New Roman" w:hAnsi="Times New Roman" w:cs="Times New Roman"/>
          <w:color w:val="auto"/>
        </w:rPr>
        <w:sectPr w:rsidR="00856AB8" w:rsidRPr="00856AB8">
          <w:pgSz w:w="11900" w:h="16840"/>
          <w:pgMar w:top="360" w:right="360" w:bottom="360" w:left="360" w:header="0" w:footer="3" w:gutter="0"/>
          <w:cols w:space="720"/>
          <w:noEndnote/>
          <w:docGrid w:linePitch="360"/>
        </w:sectPr>
      </w:pPr>
    </w:p>
    <w:p w14:paraId="757B07F1" w14:textId="77777777" w:rsidR="00856AB8" w:rsidRPr="00856AB8" w:rsidRDefault="00856AB8" w:rsidP="00856AB8">
      <w:pPr>
        <w:framePr w:w="9696" w:h="14860" w:hRule="exact" w:wrap="none" w:vAnchor="page" w:hAnchor="page" w:x="1716" w:y="1185"/>
        <w:spacing w:line="322" w:lineRule="exact"/>
        <w:ind w:firstLine="600"/>
        <w:jc w:val="both"/>
        <w:rPr>
          <w:rFonts w:ascii="Times New Roman" w:hAnsi="Times New Roman" w:cs="Times New Roman"/>
          <w:color w:val="auto"/>
        </w:rPr>
      </w:pPr>
      <w:r w:rsidRPr="00856AB8">
        <w:rPr>
          <w:rStyle w:val="22"/>
          <w:rFonts w:eastAsia="Microsoft Sans Serif"/>
          <w:color w:val="auto"/>
          <w:sz w:val="24"/>
          <w:szCs w:val="24"/>
        </w:rPr>
        <w:lastRenderedPageBreak/>
        <w:t>База оподаткування об’єкта/об’єктів житлової нерухомості</w:t>
      </w:r>
      <w:r w:rsidRPr="00856AB8">
        <w:rPr>
          <w:rFonts w:ascii="Times New Roman" w:hAnsi="Times New Roman" w:cs="Times New Roman"/>
          <w:color w:val="auto"/>
        </w:rPr>
        <w:t xml:space="preserve">, в тому числі їх часток, що перебувають у власності фізичної особи - платника податку, </w:t>
      </w:r>
      <w:r w:rsidRPr="00856AB8">
        <w:rPr>
          <w:rStyle w:val="22"/>
          <w:rFonts w:eastAsia="Microsoft Sans Serif"/>
          <w:color w:val="auto"/>
          <w:sz w:val="24"/>
          <w:szCs w:val="24"/>
        </w:rPr>
        <w:t>зменшується:</w:t>
      </w:r>
    </w:p>
    <w:p w14:paraId="0BEC9979" w14:textId="77777777" w:rsidR="00856AB8" w:rsidRPr="00856AB8" w:rsidRDefault="00856AB8" w:rsidP="00856AB8">
      <w:pPr>
        <w:framePr w:w="9696" w:h="14860" w:hRule="exact" w:wrap="none" w:vAnchor="page" w:hAnchor="page" w:x="1716" w:y="1185"/>
        <w:numPr>
          <w:ilvl w:val="0"/>
          <w:numId w:val="2"/>
        </w:numPr>
        <w:tabs>
          <w:tab w:val="left" w:pos="374"/>
        </w:tabs>
        <w:spacing w:line="322" w:lineRule="exact"/>
        <w:jc w:val="both"/>
        <w:rPr>
          <w:rFonts w:ascii="Times New Roman" w:hAnsi="Times New Roman" w:cs="Times New Roman"/>
          <w:color w:val="auto"/>
        </w:rPr>
      </w:pPr>
      <w:r w:rsidRPr="00856AB8">
        <w:rPr>
          <w:rFonts w:ascii="Times New Roman" w:hAnsi="Times New Roman" w:cs="Times New Roman"/>
          <w:color w:val="auto"/>
        </w:rPr>
        <w:t xml:space="preserve">для квартири/квартир незалежно від їх кількості - на 60 </w:t>
      </w:r>
      <w:proofErr w:type="spellStart"/>
      <w:r w:rsidRPr="00856AB8">
        <w:rPr>
          <w:rFonts w:ascii="Times New Roman" w:hAnsi="Times New Roman" w:cs="Times New Roman"/>
          <w:color w:val="auto"/>
        </w:rPr>
        <w:t>кв</w:t>
      </w:r>
      <w:proofErr w:type="spellEnd"/>
      <w:r w:rsidRPr="00856AB8">
        <w:rPr>
          <w:rFonts w:ascii="Times New Roman" w:hAnsi="Times New Roman" w:cs="Times New Roman"/>
          <w:color w:val="auto"/>
        </w:rPr>
        <w:t>. метрів;</w:t>
      </w:r>
    </w:p>
    <w:p w14:paraId="0EC8603F" w14:textId="77777777" w:rsidR="00856AB8" w:rsidRPr="00856AB8" w:rsidRDefault="00856AB8" w:rsidP="00856AB8">
      <w:pPr>
        <w:framePr w:w="9696" w:h="14860" w:hRule="exact" w:wrap="none" w:vAnchor="page" w:hAnchor="page" w:x="1716" w:y="1185"/>
        <w:numPr>
          <w:ilvl w:val="0"/>
          <w:numId w:val="2"/>
        </w:numPr>
        <w:tabs>
          <w:tab w:val="left" w:pos="437"/>
        </w:tabs>
        <w:spacing w:line="322" w:lineRule="exact"/>
        <w:jc w:val="both"/>
        <w:rPr>
          <w:rFonts w:ascii="Times New Roman" w:hAnsi="Times New Roman" w:cs="Times New Roman"/>
          <w:color w:val="auto"/>
        </w:rPr>
      </w:pPr>
      <w:r w:rsidRPr="00856AB8">
        <w:rPr>
          <w:rFonts w:ascii="Times New Roman" w:hAnsi="Times New Roman" w:cs="Times New Roman"/>
          <w:color w:val="auto"/>
        </w:rPr>
        <w:t xml:space="preserve">для житлового будинку/будинків незалежно від їх кількості - на 120 </w:t>
      </w:r>
      <w:proofErr w:type="spellStart"/>
      <w:r w:rsidRPr="00856AB8">
        <w:rPr>
          <w:rFonts w:ascii="Times New Roman" w:hAnsi="Times New Roman" w:cs="Times New Roman"/>
          <w:color w:val="auto"/>
        </w:rPr>
        <w:t>кв</w:t>
      </w:r>
      <w:proofErr w:type="spellEnd"/>
      <w:r w:rsidRPr="00856AB8">
        <w:rPr>
          <w:rFonts w:ascii="Times New Roman" w:hAnsi="Times New Roman" w:cs="Times New Roman"/>
          <w:color w:val="auto"/>
        </w:rPr>
        <w:t>. метрів;</w:t>
      </w:r>
    </w:p>
    <w:p w14:paraId="38210796" w14:textId="77777777" w:rsidR="00856AB8" w:rsidRPr="00856AB8" w:rsidRDefault="00856AB8" w:rsidP="00856AB8">
      <w:pPr>
        <w:framePr w:w="9696" w:h="14860" w:hRule="exact" w:wrap="none" w:vAnchor="page" w:hAnchor="page" w:x="1716" w:y="1185"/>
        <w:numPr>
          <w:ilvl w:val="0"/>
          <w:numId w:val="3"/>
        </w:numPr>
        <w:tabs>
          <w:tab w:val="left" w:pos="428"/>
        </w:tabs>
        <w:spacing w:line="322" w:lineRule="exact"/>
        <w:jc w:val="both"/>
        <w:rPr>
          <w:rFonts w:ascii="Times New Roman" w:hAnsi="Times New Roman" w:cs="Times New Roman"/>
          <w:color w:val="auto"/>
        </w:rPr>
      </w:pPr>
      <w:r w:rsidRPr="00856AB8">
        <w:rPr>
          <w:rFonts w:ascii="Times New Roman" w:hAnsi="Times New Roman" w:cs="Times New Roman"/>
          <w:color w:val="auto"/>
        </w:rPr>
        <w:t xml:space="preserve">для різних типів об’єктів житлової нерухомості, в тому числі їх часток (у разі одночасного перебування у власності платника податку квартири/квартир та житлового будинку/будинків, у тому числі їх часток), - на 180 </w:t>
      </w:r>
      <w:proofErr w:type="spellStart"/>
      <w:r w:rsidRPr="00856AB8">
        <w:rPr>
          <w:rFonts w:ascii="Times New Roman" w:hAnsi="Times New Roman" w:cs="Times New Roman"/>
          <w:color w:val="auto"/>
        </w:rPr>
        <w:t>кв</w:t>
      </w:r>
      <w:proofErr w:type="spellEnd"/>
      <w:r w:rsidRPr="00856AB8">
        <w:rPr>
          <w:rFonts w:ascii="Times New Roman" w:hAnsi="Times New Roman" w:cs="Times New Roman"/>
          <w:color w:val="auto"/>
        </w:rPr>
        <w:t>. метрів.</w:t>
      </w:r>
    </w:p>
    <w:p w14:paraId="662CCFE5" w14:textId="77777777" w:rsidR="00856AB8" w:rsidRPr="00856AB8" w:rsidRDefault="00856AB8" w:rsidP="00856AB8">
      <w:pPr>
        <w:framePr w:w="9696" w:h="14860" w:hRule="exact" w:wrap="none" w:vAnchor="page" w:hAnchor="page" w:x="1716" w:y="1185"/>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Таке зменшення надається один раз за кожний базовий податковий (звітний) період (рік).</w:t>
      </w:r>
    </w:p>
    <w:p w14:paraId="60306C31" w14:textId="77777777" w:rsidR="00856AB8" w:rsidRPr="00856AB8" w:rsidRDefault="00856AB8" w:rsidP="00856AB8">
      <w:pPr>
        <w:framePr w:w="9696" w:h="14860" w:hRule="exact" w:wrap="none" w:vAnchor="page" w:hAnchor="page" w:x="1716" w:y="1185"/>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Пільги з податку, що сплачується на відповідній території з об’єктів житлової нерухомості, для фізичних осіб не надаються на:</w:t>
      </w:r>
    </w:p>
    <w:p w14:paraId="3CB37223" w14:textId="77777777" w:rsidR="00856AB8" w:rsidRPr="00856AB8" w:rsidRDefault="00856AB8" w:rsidP="00856AB8">
      <w:pPr>
        <w:framePr w:w="9696" w:h="14860" w:hRule="exact" w:wrap="none" w:vAnchor="page" w:hAnchor="page" w:x="1716" w:y="1185"/>
        <w:numPr>
          <w:ilvl w:val="0"/>
          <w:numId w:val="4"/>
        </w:numPr>
        <w:tabs>
          <w:tab w:val="left" w:pos="437"/>
        </w:tabs>
        <w:spacing w:line="322" w:lineRule="exact"/>
        <w:jc w:val="both"/>
        <w:rPr>
          <w:rFonts w:ascii="Times New Roman" w:hAnsi="Times New Roman" w:cs="Times New Roman"/>
          <w:color w:val="auto"/>
        </w:rPr>
      </w:pPr>
      <w:r w:rsidRPr="00856AB8">
        <w:rPr>
          <w:rFonts w:ascii="Times New Roman" w:hAnsi="Times New Roman" w:cs="Times New Roman"/>
          <w:color w:val="auto"/>
        </w:rPr>
        <w:t>об’єкт/об’єкти оподаткування, якщо площа такого/таких об’єкта/об’єктів перевищує п’ятикратний розмір неоподатковуваної площі, затвердженої рішенням органів місцевого самоврядування;</w:t>
      </w:r>
    </w:p>
    <w:p w14:paraId="4B2E767D" w14:textId="77777777" w:rsidR="00856AB8" w:rsidRPr="00856AB8" w:rsidRDefault="00856AB8" w:rsidP="00856AB8">
      <w:pPr>
        <w:framePr w:w="9696" w:h="14860" w:hRule="exact" w:wrap="none" w:vAnchor="page" w:hAnchor="page" w:x="1716" w:y="1185"/>
        <w:numPr>
          <w:ilvl w:val="0"/>
          <w:numId w:val="4"/>
        </w:numPr>
        <w:tabs>
          <w:tab w:val="left" w:pos="437"/>
        </w:tabs>
        <w:spacing w:line="322" w:lineRule="exact"/>
        <w:jc w:val="both"/>
        <w:rPr>
          <w:rFonts w:ascii="Times New Roman" w:hAnsi="Times New Roman" w:cs="Times New Roman"/>
          <w:color w:val="auto"/>
        </w:rPr>
      </w:pPr>
      <w:r w:rsidRPr="00856AB8">
        <w:rPr>
          <w:rFonts w:ascii="Times New Roman" w:hAnsi="Times New Roman" w:cs="Times New Roman"/>
          <w:color w:val="auto"/>
        </w:rPr>
        <w:t>об’єкти оподаткування, що використовуються їх власниками з метою одержання доходів (здаються в оренду, лізинг, позичку, використовуються у підприємницькій діяльності).</w:t>
      </w:r>
    </w:p>
    <w:p w14:paraId="50848814" w14:textId="77777777" w:rsidR="00856AB8" w:rsidRPr="00856AB8" w:rsidRDefault="00856AB8" w:rsidP="00856AB8">
      <w:pPr>
        <w:framePr w:w="9696" w:h="14860" w:hRule="exact" w:wrap="none" w:vAnchor="page" w:hAnchor="page" w:x="1716" w:y="1185"/>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Сільські, селищні, міські ради та ради об’єднаних територіальних громад, що створені згідно із законом та перспективним планом формування територій громад, встановлюють пільги з податку, що сплачується на відповідній території, з об’єктів житлової та/або нежитлової нерухомості, що перебувають у власності фізичних або юридичних осіб, громадських об’єднань, благодійних організацій, релігійних організацій України, статути (положення) яких зареєстровані у встановленому законом порядку, та використовуються для забезпечення діяльності, передбаченої такими статутами (положеннями). Пільги з податку, що сплачується на відповідній території з об’єктів житлової нерухомості, для фізичних осіб визначаються виходячи з їх майнового стану та рівня доходів.</w:t>
      </w:r>
    </w:p>
    <w:p w14:paraId="07654BF9" w14:textId="77777777" w:rsidR="00856AB8" w:rsidRPr="00856AB8" w:rsidRDefault="00856AB8" w:rsidP="00856AB8">
      <w:pPr>
        <w:framePr w:w="9696" w:h="14860" w:hRule="exact" w:wrap="none" w:vAnchor="page" w:hAnchor="page" w:x="1716" w:y="1185"/>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Ставки податку для об’єктів житлової та/або нежитлової нерухомості, що перебувають у власності фізичних та юридичних осіб, встановлюються за рішенням сільської, селищної, міської ради або ради об’єднаних територіальних громад, що створені згідно із законом та перспективним планом формування територій громад, залежно від місця розташування (зональності) та типів таких об’єктів нерухомості у розмірі, що не перевищує 1,5 відсотки розміру мінімальної заробітної плати, встановленої законом на 1 січня звітного (податкового) року, за 1 квадратний метр бази оподаткування.</w:t>
      </w:r>
    </w:p>
    <w:p w14:paraId="542047BA" w14:textId="77777777" w:rsidR="00856AB8" w:rsidRPr="00856AB8" w:rsidRDefault="00856AB8" w:rsidP="00856AB8">
      <w:pPr>
        <w:framePr w:w="9696" w:h="14860" w:hRule="exact" w:wrap="none" w:vAnchor="page" w:hAnchor="page" w:x="1716" w:y="1185"/>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За наявності у власності платника податку об’єкта (об’єктів) житлової нерухомості, у тому числі його частки, що перебуває у власності фізичної чи юридичної особи - платника податку, загальна площа якого перевищує 300 квадратних метрів (для квартири) та/або 500 квадратних метрів (для будинку), сума податку, збільшується на 25000 гривень на рік за кожен такий об’єкт житлової нерухомості (його частку).</w:t>
      </w:r>
    </w:p>
    <w:p w14:paraId="756C9437" w14:textId="77777777" w:rsidR="00856AB8" w:rsidRPr="00856AB8" w:rsidRDefault="00856AB8" w:rsidP="00856AB8">
      <w:pPr>
        <w:framePr w:w="9696" w:h="14860" w:hRule="exact" w:wrap="none" w:vAnchor="page" w:hAnchor="page" w:x="1716" w:y="1185"/>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Базовий податковий (звітний) період дорівнює календарному року.</w:t>
      </w:r>
    </w:p>
    <w:p w14:paraId="617F0687" w14:textId="77777777" w:rsidR="00856AB8" w:rsidRPr="00856AB8" w:rsidRDefault="00856AB8" w:rsidP="00856AB8">
      <w:pPr>
        <w:framePr w:w="9696" w:h="14860" w:hRule="exact" w:wrap="none" w:vAnchor="page" w:hAnchor="page" w:x="1716" w:y="1185"/>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Платники податку - юридичні особи самостійно обчислюють суму податку станом на 1 січня звітного року і до 20 лютого цього ж року подають</w:t>
      </w:r>
    </w:p>
    <w:p w14:paraId="612A4F52" w14:textId="77777777" w:rsidR="00856AB8" w:rsidRPr="00856AB8" w:rsidRDefault="00856AB8" w:rsidP="00856AB8">
      <w:pPr>
        <w:rPr>
          <w:rFonts w:ascii="Times New Roman" w:hAnsi="Times New Roman" w:cs="Times New Roman"/>
          <w:color w:val="auto"/>
        </w:rPr>
        <w:sectPr w:rsidR="00856AB8" w:rsidRPr="00856AB8">
          <w:pgSz w:w="11900" w:h="16840"/>
          <w:pgMar w:top="360" w:right="360" w:bottom="360" w:left="360" w:header="0" w:footer="3" w:gutter="0"/>
          <w:cols w:space="720"/>
          <w:noEndnote/>
          <w:docGrid w:linePitch="360"/>
        </w:sectPr>
      </w:pPr>
    </w:p>
    <w:p w14:paraId="25AA942C" w14:textId="77777777" w:rsidR="00856AB8" w:rsidRPr="00856AB8" w:rsidRDefault="00856AB8" w:rsidP="00856AB8">
      <w:pPr>
        <w:framePr w:w="9701" w:h="2600" w:hRule="exact" w:wrap="none" w:vAnchor="page" w:hAnchor="page" w:x="1424" w:y="1030"/>
        <w:spacing w:line="317" w:lineRule="exact"/>
        <w:jc w:val="both"/>
        <w:rPr>
          <w:rFonts w:ascii="Times New Roman" w:hAnsi="Times New Roman" w:cs="Times New Roman"/>
          <w:color w:val="auto"/>
        </w:rPr>
      </w:pPr>
      <w:r w:rsidRPr="00856AB8">
        <w:rPr>
          <w:rFonts w:ascii="Times New Roman" w:hAnsi="Times New Roman" w:cs="Times New Roman"/>
          <w:color w:val="auto"/>
        </w:rPr>
        <w:lastRenderedPageBreak/>
        <w:t>контролюючому органу за місцезнаходженням об’єкта/об’єктів оподаткування декларацію.</w:t>
      </w:r>
    </w:p>
    <w:p w14:paraId="1C031BAD" w14:textId="77777777" w:rsidR="00856AB8" w:rsidRPr="00856AB8" w:rsidRDefault="00856AB8" w:rsidP="00856AB8">
      <w:pPr>
        <w:framePr w:w="9701" w:h="2600" w:hRule="exact" w:wrap="none" w:vAnchor="page" w:hAnchor="page" w:x="1424" w:y="1030"/>
        <w:spacing w:line="317" w:lineRule="exact"/>
        <w:ind w:left="740"/>
        <w:rPr>
          <w:rFonts w:ascii="Times New Roman" w:hAnsi="Times New Roman" w:cs="Times New Roman"/>
          <w:color w:val="auto"/>
        </w:rPr>
      </w:pPr>
      <w:r w:rsidRPr="00856AB8">
        <w:rPr>
          <w:rFonts w:ascii="Times New Roman" w:hAnsi="Times New Roman" w:cs="Times New Roman"/>
          <w:color w:val="auto"/>
        </w:rPr>
        <w:t>Податкове зобов’язання за звітний рік з податку сплачується:</w:t>
      </w:r>
    </w:p>
    <w:p w14:paraId="3E497E76" w14:textId="77777777" w:rsidR="00856AB8" w:rsidRPr="00856AB8" w:rsidRDefault="00856AB8" w:rsidP="00856AB8">
      <w:pPr>
        <w:framePr w:w="9701" w:h="2600" w:hRule="exact" w:wrap="none" w:vAnchor="page" w:hAnchor="page" w:x="1424" w:y="1030"/>
        <w:numPr>
          <w:ilvl w:val="0"/>
          <w:numId w:val="5"/>
        </w:numPr>
        <w:tabs>
          <w:tab w:val="left" w:pos="456"/>
        </w:tabs>
        <w:spacing w:line="317" w:lineRule="exact"/>
        <w:jc w:val="both"/>
        <w:rPr>
          <w:rFonts w:ascii="Times New Roman" w:hAnsi="Times New Roman" w:cs="Times New Roman"/>
          <w:color w:val="auto"/>
        </w:rPr>
      </w:pPr>
      <w:r w:rsidRPr="00856AB8">
        <w:rPr>
          <w:rFonts w:ascii="Times New Roman" w:hAnsi="Times New Roman" w:cs="Times New Roman"/>
          <w:color w:val="auto"/>
        </w:rPr>
        <w:t>фізичними особами - протягом 60 днів з дня вручення податкового повідомлення-рішення.</w:t>
      </w:r>
    </w:p>
    <w:p w14:paraId="24853AB4" w14:textId="77777777" w:rsidR="00856AB8" w:rsidRPr="00856AB8" w:rsidRDefault="00856AB8" w:rsidP="00856AB8">
      <w:pPr>
        <w:framePr w:w="9701" w:h="2600" w:hRule="exact" w:wrap="none" w:vAnchor="page" w:hAnchor="page" w:x="1424" w:y="1030"/>
        <w:numPr>
          <w:ilvl w:val="0"/>
          <w:numId w:val="5"/>
        </w:numPr>
        <w:tabs>
          <w:tab w:val="left" w:pos="456"/>
        </w:tabs>
        <w:spacing w:line="317" w:lineRule="exact"/>
        <w:jc w:val="both"/>
        <w:rPr>
          <w:rFonts w:ascii="Times New Roman" w:hAnsi="Times New Roman" w:cs="Times New Roman"/>
          <w:color w:val="auto"/>
        </w:rPr>
      </w:pPr>
      <w:bookmarkStart w:id="2" w:name="bookmark82"/>
      <w:r w:rsidRPr="00856AB8">
        <w:rPr>
          <w:rFonts w:ascii="Times New Roman" w:hAnsi="Times New Roman" w:cs="Times New Roman"/>
          <w:color w:val="auto"/>
        </w:rPr>
        <w:t>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bookmarkEnd w:id="2"/>
    </w:p>
    <w:p w14:paraId="2629C9F5" w14:textId="77777777" w:rsidR="00856AB8" w:rsidRPr="00856AB8" w:rsidRDefault="00856AB8" w:rsidP="00856AB8">
      <w:pPr>
        <w:pStyle w:val="21"/>
        <w:framePr w:w="9701" w:h="11435" w:hRule="exact" w:wrap="none" w:vAnchor="page" w:hAnchor="page" w:x="1561" w:y="3961"/>
        <w:numPr>
          <w:ilvl w:val="1"/>
          <w:numId w:val="15"/>
        </w:numPr>
        <w:shd w:val="clear" w:color="auto" w:fill="auto"/>
        <w:tabs>
          <w:tab w:val="left" w:pos="3675"/>
        </w:tabs>
        <w:spacing w:after="308" w:line="260" w:lineRule="exact"/>
        <w:jc w:val="both"/>
        <w:rPr>
          <w:sz w:val="24"/>
          <w:szCs w:val="24"/>
        </w:rPr>
      </w:pPr>
      <w:bookmarkStart w:id="3" w:name="bookmark83"/>
      <w:r w:rsidRPr="00856AB8">
        <w:rPr>
          <w:sz w:val="24"/>
          <w:szCs w:val="24"/>
        </w:rPr>
        <w:t>Транспортний податок</w:t>
      </w:r>
      <w:bookmarkEnd w:id="3"/>
    </w:p>
    <w:p w14:paraId="2C35892E" w14:textId="77777777" w:rsidR="00856AB8" w:rsidRPr="00856AB8" w:rsidRDefault="00856AB8" w:rsidP="00856AB8">
      <w:pPr>
        <w:framePr w:w="9701" w:h="11435" w:hRule="exact" w:wrap="none" w:vAnchor="page" w:hAnchor="page" w:x="1561" w:y="396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w:t>
      </w:r>
    </w:p>
    <w:p w14:paraId="1CDC8700" w14:textId="77777777" w:rsidR="00856AB8" w:rsidRPr="00856AB8" w:rsidRDefault="00856AB8" w:rsidP="00856AB8">
      <w:pPr>
        <w:framePr w:w="9701" w:h="11435" w:hRule="exact" w:wrap="none" w:vAnchor="page" w:hAnchor="page" w:x="1561" w:y="396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 xml:space="preserve">Об’єктом оподаткування є легкові автомобілі, з року випуску яких минуло не більше п’яти років (включно) та </w:t>
      </w:r>
      <w:proofErr w:type="spellStart"/>
      <w:r w:rsidRPr="00856AB8">
        <w:rPr>
          <w:rFonts w:ascii="Times New Roman" w:hAnsi="Times New Roman" w:cs="Times New Roman"/>
          <w:color w:val="auto"/>
        </w:rPr>
        <w:t>середньоринкова</w:t>
      </w:r>
      <w:proofErr w:type="spellEnd"/>
      <w:r w:rsidRPr="00856AB8">
        <w:rPr>
          <w:rFonts w:ascii="Times New Roman" w:hAnsi="Times New Roman" w:cs="Times New Roman"/>
          <w:color w:val="auto"/>
        </w:rPr>
        <w:t xml:space="preserve"> вартість яких становить понад 375 розмірів мінімальної заробітної плати, встановленої законом на 1 січня податкового (звітного) року.</w:t>
      </w:r>
    </w:p>
    <w:p w14:paraId="5333C3F2" w14:textId="77777777" w:rsidR="00856AB8" w:rsidRPr="00856AB8" w:rsidRDefault="00856AB8" w:rsidP="00856AB8">
      <w:pPr>
        <w:framePr w:w="9701" w:h="11435" w:hRule="exact" w:wrap="none" w:vAnchor="page" w:hAnchor="page" w:x="1561" w:y="396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Така вартість визначається центральним органом виконавчої влади, що реалізує державну політику економічного розвитку, за методикою, затвердженою Кабінетом Міністрів України, виходячи з марки, моделі, року випуску, типу двигуна, об’єму циліндрів двигуна, типу коробки переключення передач, пробігу легкового автомобіля, та розміщується на його офіційному веб- сайті.</w:t>
      </w:r>
    </w:p>
    <w:p w14:paraId="03F0F68E" w14:textId="77777777" w:rsidR="00856AB8" w:rsidRPr="00856AB8" w:rsidRDefault="00856AB8" w:rsidP="00856AB8">
      <w:pPr>
        <w:framePr w:w="9701" w:h="11435" w:hRule="exact" w:wrap="none" w:vAnchor="page" w:hAnchor="page" w:x="1561" w:y="396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14:paraId="4E2F5EAE" w14:textId="77777777" w:rsidR="00856AB8" w:rsidRPr="00856AB8" w:rsidRDefault="00856AB8" w:rsidP="00856AB8">
      <w:pPr>
        <w:framePr w:w="9701" w:h="11435" w:hRule="exact" w:wrap="none" w:vAnchor="page" w:hAnchor="page" w:x="1561" w:y="396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Ставка податку встановлюється з розрахунку на календарний рік у розмірі 25 000 гривень за кожен легковий автомобіль, що є об’єктом оподаткування.</w:t>
      </w:r>
    </w:p>
    <w:p w14:paraId="0A5022CA" w14:textId="77777777" w:rsidR="00856AB8" w:rsidRPr="00856AB8" w:rsidRDefault="00856AB8" w:rsidP="00856AB8">
      <w:pPr>
        <w:framePr w:w="9701" w:h="11435" w:hRule="exact" w:wrap="none" w:vAnchor="page" w:hAnchor="page" w:x="1561" w:y="396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Базовий податковий (звітний) період дорівнює календарному року.</w:t>
      </w:r>
    </w:p>
    <w:p w14:paraId="3F53503D" w14:textId="77777777" w:rsidR="00856AB8" w:rsidRPr="00856AB8" w:rsidRDefault="00856AB8" w:rsidP="00856AB8">
      <w:pPr>
        <w:framePr w:w="9701" w:h="11435" w:hRule="exact" w:wrap="none" w:vAnchor="page" w:hAnchor="page" w:x="1561" w:y="396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Обчислення суми податку з об’єкта/об’єктів оподаткування фізичних осіб здійснюється контролюючим органом за місцем реєстрації платника податку.</w:t>
      </w:r>
    </w:p>
    <w:p w14:paraId="7A39F81E" w14:textId="77777777" w:rsidR="00856AB8" w:rsidRPr="00856AB8" w:rsidRDefault="00856AB8" w:rsidP="00856AB8">
      <w:pPr>
        <w:framePr w:w="9701" w:h="11435" w:hRule="exact" w:wrap="none" w:vAnchor="page" w:hAnchor="page" w:x="1561" w:y="396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Платники податку - юридичні особи самостійно обчислюють суму податку станом на 1 січня звітного року і до 20 лютого цього ж року подають контролюючому органу за місцем реєстрації об’єкта оподаткування декларацію.</w:t>
      </w:r>
    </w:p>
    <w:p w14:paraId="1CF08D70" w14:textId="77777777" w:rsidR="00856AB8" w:rsidRPr="00856AB8" w:rsidRDefault="00856AB8" w:rsidP="00856AB8">
      <w:pPr>
        <w:framePr w:w="9701" w:h="11435" w:hRule="exact" w:wrap="none" w:vAnchor="page" w:hAnchor="page" w:x="1561" w:y="396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Податок сплачується за місцем реєстрації об’єктів оподаткування і зараховується до відповідного бюджету.</w:t>
      </w:r>
    </w:p>
    <w:p w14:paraId="536EC2F3" w14:textId="77777777" w:rsidR="00856AB8" w:rsidRPr="00856AB8" w:rsidRDefault="00856AB8" w:rsidP="00856AB8">
      <w:pPr>
        <w:framePr w:w="9701" w:h="11435" w:hRule="exact" w:wrap="none" w:vAnchor="page" w:hAnchor="page" w:x="1561" w:y="396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Транспортний податок сплачується:</w:t>
      </w:r>
    </w:p>
    <w:p w14:paraId="5B39C622" w14:textId="77777777" w:rsidR="00856AB8" w:rsidRPr="00856AB8" w:rsidRDefault="00856AB8" w:rsidP="00856AB8">
      <w:pPr>
        <w:framePr w:w="9701" w:h="11435" w:hRule="exact" w:wrap="none" w:vAnchor="page" w:hAnchor="page" w:x="1561" w:y="3961"/>
        <w:spacing w:line="322" w:lineRule="exact"/>
        <w:jc w:val="both"/>
        <w:rPr>
          <w:rFonts w:ascii="Times New Roman" w:hAnsi="Times New Roman" w:cs="Times New Roman"/>
          <w:color w:val="auto"/>
        </w:rPr>
      </w:pPr>
      <w:r w:rsidRPr="00856AB8">
        <w:rPr>
          <w:rFonts w:ascii="Times New Roman" w:hAnsi="Times New Roman" w:cs="Times New Roman"/>
          <w:color w:val="auto"/>
        </w:rPr>
        <w:t>1 ) фізичними особами - протягом 60 днів з дня вручення податкового повідомлення-рішення;</w:t>
      </w:r>
    </w:p>
    <w:p w14:paraId="5272E8BB" w14:textId="77777777" w:rsidR="00856AB8" w:rsidRPr="00856AB8" w:rsidRDefault="00856AB8" w:rsidP="00856AB8">
      <w:pPr>
        <w:framePr w:w="9701" w:h="11435" w:hRule="exact" w:wrap="none" w:vAnchor="page" w:hAnchor="page" w:x="1561" w:y="3961"/>
        <w:spacing w:after="169" w:line="322" w:lineRule="exact"/>
        <w:jc w:val="both"/>
        <w:rPr>
          <w:rFonts w:ascii="Times New Roman" w:hAnsi="Times New Roman" w:cs="Times New Roman"/>
          <w:color w:val="auto"/>
        </w:rPr>
      </w:pPr>
      <w:bookmarkStart w:id="4" w:name="bookmark84"/>
      <w:r w:rsidRPr="00856AB8">
        <w:rPr>
          <w:rFonts w:ascii="Times New Roman" w:hAnsi="Times New Roman" w:cs="Times New Roman"/>
          <w:color w:val="auto"/>
        </w:rPr>
        <w:t>2)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bookmarkEnd w:id="4"/>
    </w:p>
    <w:p w14:paraId="1D573ABB" w14:textId="77777777" w:rsidR="00856AB8" w:rsidRPr="00856AB8" w:rsidRDefault="00856AB8" w:rsidP="00856AB8">
      <w:pPr>
        <w:pStyle w:val="21"/>
        <w:framePr w:w="9701" w:h="11435" w:hRule="exact" w:wrap="none" w:vAnchor="page" w:hAnchor="page" w:x="1561" w:y="3961"/>
        <w:numPr>
          <w:ilvl w:val="0"/>
          <w:numId w:val="15"/>
        </w:numPr>
        <w:shd w:val="clear" w:color="auto" w:fill="auto"/>
        <w:tabs>
          <w:tab w:val="left" w:pos="1875"/>
        </w:tabs>
        <w:spacing w:after="0" w:line="260" w:lineRule="exact"/>
        <w:jc w:val="both"/>
        <w:rPr>
          <w:sz w:val="24"/>
          <w:szCs w:val="24"/>
        </w:rPr>
      </w:pPr>
      <w:bookmarkStart w:id="5" w:name="bookmark85"/>
      <w:r w:rsidRPr="00856AB8">
        <w:rPr>
          <w:sz w:val="24"/>
          <w:szCs w:val="24"/>
        </w:rPr>
        <w:t>Збір за місця для паркування транспортних засобів</w:t>
      </w:r>
      <w:bookmarkEnd w:id="5"/>
    </w:p>
    <w:p w14:paraId="3674E7E2" w14:textId="77777777" w:rsidR="00856AB8" w:rsidRPr="00856AB8" w:rsidRDefault="00856AB8" w:rsidP="00856AB8">
      <w:pPr>
        <w:rPr>
          <w:rFonts w:ascii="Times New Roman" w:hAnsi="Times New Roman" w:cs="Times New Roman"/>
          <w:color w:val="auto"/>
        </w:rPr>
        <w:sectPr w:rsidR="00856AB8" w:rsidRPr="00856AB8">
          <w:pgSz w:w="11900" w:h="16840"/>
          <w:pgMar w:top="360" w:right="360" w:bottom="360" w:left="360" w:header="0" w:footer="3" w:gutter="0"/>
          <w:cols w:space="720"/>
          <w:noEndnote/>
          <w:docGrid w:linePitch="360"/>
        </w:sectPr>
      </w:pPr>
    </w:p>
    <w:p w14:paraId="5290F5C4" w14:textId="77777777" w:rsidR="00856AB8" w:rsidRPr="00856AB8" w:rsidRDefault="00856AB8" w:rsidP="00856AB8">
      <w:pPr>
        <w:framePr w:w="9696" w:h="14471" w:hRule="exact" w:wrap="none" w:vAnchor="page" w:hAnchor="page" w:x="1322" w:y="1183"/>
        <w:spacing w:line="322" w:lineRule="exact"/>
        <w:ind w:firstLine="600"/>
        <w:jc w:val="both"/>
        <w:rPr>
          <w:rFonts w:ascii="Times New Roman" w:hAnsi="Times New Roman" w:cs="Times New Roman"/>
          <w:color w:val="auto"/>
        </w:rPr>
      </w:pPr>
      <w:r w:rsidRPr="00856AB8">
        <w:rPr>
          <w:rStyle w:val="24"/>
          <w:rFonts w:eastAsia="Microsoft Sans Serif"/>
          <w:color w:val="auto"/>
          <w:sz w:val="24"/>
          <w:szCs w:val="24"/>
        </w:rPr>
        <w:lastRenderedPageBreak/>
        <w:t>Платниками збору є юридичні особи</w:t>
      </w:r>
      <w:r w:rsidRPr="00856AB8">
        <w:rPr>
          <w:rFonts w:ascii="Times New Roman" w:hAnsi="Times New Roman" w:cs="Times New Roman"/>
          <w:color w:val="auto"/>
        </w:rPr>
        <w:t>, їх філії (відділення, представництва), фізичні особи - підприємці, які згідно з рішенням сільської, селищної або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 (ст. 268.1 ПКУ).</w:t>
      </w:r>
    </w:p>
    <w:p w14:paraId="1E3149B4" w14:textId="77777777" w:rsidR="00856AB8" w:rsidRPr="00856AB8" w:rsidRDefault="00856AB8" w:rsidP="00856AB8">
      <w:pPr>
        <w:framePr w:w="9696" w:h="14471" w:hRule="exact" w:wrap="none" w:vAnchor="page" w:hAnchor="page" w:x="1322" w:y="1183"/>
        <w:spacing w:line="322" w:lineRule="exact"/>
        <w:ind w:firstLine="600"/>
        <w:jc w:val="both"/>
        <w:rPr>
          <w:rFonts w:ascii="Times New Roman" w:hAnsi="Times New Roman" w:cs="Times New Roman"/>
          <w:color w:val="auto"/>
        </w:rPr>
      </w:pPr>
      <w:r w:rsidRPr="00856AB8">
        <w:rPr>
          <w:rStyle w:val="24"/>
          <w:rFonts w:eastAsia="Microsoft Sans Serif"/>
          <w:color w:val="auto"/>
          <w:sz w:val="24"/>
          <w:szCs w:val="24"/>
        </w:rPr>
        <w:t>Об’єктом оподаткування</w:t>
      </w:r>
      <w:r w:rsidRPr="00856AB8">
        <w:rPr>
          <w:rFonts w:ascii="Times New Roman" w:hAnsi="Times New Roman" w:cs="Times New Roman"/>
          <w:color w:val="auto"/>
        </w:rPr>
        <w:t xml:space="preserve"> є земельна ділянка, яка згідно з рішенням сільської, селищної або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w:t>
      </w:r>
    </w:p>
    <w:p w14:paraId="63E54EA3" w14:textId="77777777" w:rsidR="00856AB8" w:rsidRPr="00856AB8" w:rsidRDefault="00856AB8" w:rsidP="00856AB8">
      <w:pPr>
        <w:framePr w:w="9696" w:h="14471" w:hRule="exact" w:wrap="none" w:vAnchor="page" w:hAnchor="page" w:x="1322" w:y="1183"/>
        <w:spacing w:line="322" w:lineRule="exact"/>
        <w:ind w:firstLine="600"/>
        <w:jc w:val="both"/>
        <w:rPr>
          <w:rFonts w:ascii="Times New Roman" w:hAnsi="Times New Roman" w:cs="Times New Roman"/>
          <w:color w:val="auto"/>
        </w:rPr>
      </w:pPr>
      <w:r w:rsidRPr="00856AB8">
        <w:rPr>
          <w:rStyle w:val="24"/>
          <w:rFonts w:eastAsia="Microsoft Sans Serif"/>
          <w:color w:val="auto"/>
          <w:sz w:val="24"/>
          <w:szCs w:val="24"/>
        </w:rPr>
        <w:t>Базою оподаткування є площа земельної ділянки,</w:t>
      </w:r>
      <w:r w:rsidRPr="00856AB8">
        <w:rPr>
          <w:rFonts w:ascii="Times New Roman" w:hAnsi="Times New Roman" w:cs="Times New Roman"/>
          <w:color w:val="auto"/>
        </w:rPr>
        <w:t xml:space="preserve">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 (ст. 268.2.2 ПКУ).</w:t>
      </w:r>
    </w:p>
    <w:p w14:paraId="6F06B1A8" w14:textId="77777777" w:rsidR="00856AB8" w:rsidRPr="00856AB8" w:rsidRDefault="00856AB8" w:rsidP="00856AB8">
      <w:pPr>
        <w:framePr w:w="9696" w:h="14471" w:hRule="exact" w:wrap="none" w:vAnchor="page" w:hAnchor="page" w:x="1322" w:y="1183"/>
        <w:spacing w:line="322" w:lineRule="exact"/>
        <w:ind w:firstLine="600"/>
        <w:jc w:val="both"/>
        <w:rPr>
          <w:rFonts w:ascii="Times New Roman" w:hAnsi="Times New Roman" w:cs="Times New Roman"/>
          <w:color w:val="auto"/>
        </w:rPr>
      </w:pPr>
      <w:r w:rsidRPr="00856AB8">
        <w:rPr>
          <w:rStyle w:val="24"/>
          <w:rFonts w:eastAsia="Microsoft Sans Serif"/>
          <w:color w:val="auto"/>
          <w:sz w:val="24"/>
          <w:szCs w:val="24"/>
        </w:rPr>
        <w:t>Ставки збору</w:t>
      </w:r>
      <w:r w:rsidRPr="00856AB8">
        <w:rPr>
          <w:rFonts w:ascii="Times New Roman" w:hAnsi="Times New Roman" w:cs="Times New Roman"/>
          <w:color w:val="auto"/>
        </w:rPr>
        <w:t xml:space="preserve"> встановлюються за кожний день провадження діяльності із 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 у розмірі до 0,075 відсотка мінімальної заробітної плати, установленої законом на 1 січня податкового року (3723 грн.) (ст. 268.3.1 ПКУ).</w:t>
      </w:r>
    </w:p>
    <w:p w14:paraId="6EDA7031" w14:textId="77777777" w:rsidR="00856AB8" w:rsidRPr="00856AB8" w:rsidRDefault="00856AB8" w:rsidP="00856AB8">
      <w:pPr>
        <w:framePr w:w="9696" w:h="14471" w:hRule="exact" w:wrap="none" w:vAnchor="page" w:hAnchor="page" w:x="1322" w:y="1183"/>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При визначенні ставки збору враховують місцезнаходження спеціально відведених місць для паркування транспортних засобів, площу спеціально відведеного місця, кількість місць для паркування транспортних засобів, спосіб поставлення транспортних засобів на стоянку, режим роботи та їх заповнюваність.</w:t>
      </w:r>
    </w:p>
    <w:p w14:paraId="4D0EF2DF" w14:textId="77777777" w:rsidR="00856AB8" w:rsidRPr="00856AB8" w:rsidRDefault="00856AB8" w:rsidP="00856AB8">
      <w:pPr>
        <w:framePr w:w="9696" w:h="14471" w:hRule="exact" w:wrap="none" w:vAnchor="page" w:hAnchor="page" w:x="1322" w:y="1183"/>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об’єкта оподаткування.</w:t>
      </w:r>
    </w:p>
    <w:p w14:paraId="51884494" w14:textId="77777777" w:rsidR="00856AB8" w:rsidRPr="00856AB8" w:rsidRDefault="00856AB8" w:rsidP="00856AB8">
      <w:pPr>
        <w:framePr w:w="9696" w:h="14471" w:hRule="exact" w:wrap="none" w:vAnchor="page" w:hAnchor="page" w:x="1322" w:y="1183"/>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Таким чином, сума збору визначається наступним чином:</w:t>
      </w:r>
    </w:p>
    <w:p w14:paraId="73BBCD5C" w14:textId="77777777" w:rsidR="00856AB8" w:rsidRPr="00856AB8" w:rsidRDefault="00856AB8" w:rsidP="00856AB8">
      <w:pPr>
        <w:pStyle w:val="30"/>
        <w:framePr w:w="9696" w:h="14471" w:hRule="exact" w:wrap="none" w:vAnchor="page" w:hAnchor="page" w:x="1322" w:y="1183"/>
        <w:shd w:val="clear" w:color="auto" w:fill="auto"/>
        <w:spacing w:before="0" w:after="0" w:line="322" w:lineRule="exact"/>
        <w:ind w:left="260" w:firstLine="600"/>
        <w:jc w:val="left"/>
        <w:rPr>
          <w:sz w:val="24"/>
          <w:szCs w:val="24"/>
        </w:rPr>
      </w:pPr>
      <w:bookmarkStart w:id="6" w:name="bookmark86"/>
      <w:r w:rsidRPr="00856AB8">
        <w:rPr>
          <w:sz w:val="24"/>
          <w:szCs w:val="24"/>
        </w:rPr>
        <w:t>Сума збору за місця для паркування транспортних засобів = площа ділянки (</w:t>
      </w:r>
      <w:proofErr w:type="spellStart"/>
      <w:r w:rsidRPr="00856AB8">
        <w:rPr>
          <w:sz w:val="24"/>
          <w:szCs w:val="24"/>
        </w:rPr>
        <w:t>кв.м</w:t>
      </w:r>
      <w:proofErr w:type="spellEnd"/>
      <w:r w:rsidRPr="00856AB8">
        <w:rPr>
          <w:sz w:val="24"/>
          <w:szCs w:val="24"/>
        </w:rPr>
        <w:t>)*кількість днів протягом яких провадиться діяльність*0,075*мінімальна заробітна плата станом на 1 січня звітного</w:t>
      </w:r>
      <w:bookmarkEnd w:id="6"/>
    </w:p>
    <w:p w14:paraId="06C23C56" w14:textId="77777777" w:rsidR="00856AB8" w:rsidRPr="00856AB8" w:rsidRDefault="00856AB8" w:rsidP="00856AB8">
      <w:pPr>
        <w:pStyle w:val="21"/>
        <w:framePr w:w="9696" w:h="14471" w:hRule="exact" w:wrap="none" w:vAnchor="page" w:hAnchor="page" w:x="1322" w:y="1183"/>
        <w:shd w:val="clear" w:color="auto" w:fill="auto"/>
        <w:spacing w:after="349" w:line="322" w:lineRule="exact"/>
        <w:rPr>
          <w:sz w:val="24"/>
          <w:szCs w:val="24"/>
        </w:rPr>
      </w:pPr>
      <w:bookmarkStart w:id="7" w:name="bookmark87"/>
      <w:r w:rsidRPr="00856AB8">
        <w:rPr>
          <w:sz w:val="24"/>
          <w:szCs w:val="24"/>
        </w:rPr>
        <w:t>року</w:t>
      </w:r>
      <w:bookmarkEnd w:id="7"/>
    </w:p>
    <w:p w14:paraId="649150BC" w14:textId="77777777" w:rsidR="00856AB8" w:rsidRPr="00856AB8" w:rsidRDefault="00856AB8" w:rsidP="00856AB8">
      <w:pPr>
        <w:pStyle w:val="21"/>
        <w:framePr w:w="9696" w:h="14471" w:hRule="exact" w:wrap="none" w:vAnchor="page" w:hAnchor="page" w:x="1322" w:y="1183"/>
        <w:numPr>
          <w:ilvl w:val="1"/>
          <w:numId w:val="16"/>
        </w:numPr>
        <w:shd w:val="clear" w:color="auto" w:fill="auto"/>
        <w:tabs>
          <w:tab w:val="left" w:pos="3991"/>
        </w:tabs>
        <w:spacing w:after="193" w:line="260" w:lineRule="exact"/>
        <w:jc w:val="both"/>
        <w:rPr>
          <w:sz w:val="24"/>
          <w:szCs w:val="24"/>
        </w:rPr>
      </w:pPr>
      <w:bookmarkStart w:id="8" w:name="bookmark88"/>
      <w:r w:rsidRPr="00856AB8">
        <w:rPr>
          <w:sz w:val="24"/>
          <w:szCs w:val="24"/>
        </w:rPr>
        <w:t>Туристичний збір</w:t>
      </w:r>
      <w:bookmarkEnd w:id="8"/>
    </w:p>
    <w:p w14:paraId="35D31D8E" w14:textId="77777777" w:rsidR="00856AB8" w:rsidRPr="00856AB8" w:rsidRDefault="00856AB8" w:rsidP="00856AB8">
      <w:pPr>
        <w:framePr w:w="9696" w:h="14471" w:hRule="exact" w:wrap="none" w:vAnchor="page" w:hAnchor="page" w:x="1322" w:y="1183"/>
        <w:spacing w:line="322" w:lineRule="exact"/>
        <w:ind w:firstLine="600"/>
        <w:jc w:val="both"/>
        <w:rPr>
          <w:rFonts w:ascii="Times New Roman" w:hAnsi="Times New Roman" w:cs="Times New Roman"/>
          <w:color w:val="auto"/>
        </w:rPr>
      </w:pPr>
      <w:r w:rsidRPr="00856AB8">
        <w:rPr>
          <w:rStyle w:val="24"/>
          <w:rFonts w:eastAsia="Microsoft Sans Serif"/>
          <w:color w:val="auto"/>
          <w:sz w:val="24"/>
          <w:szCs w:val="24"/>
        </w:rPr>
        <w:t>Платниками збору</w:t>
      </w:r>
      <w:r w:rsidRPr="00856AB8">
        <w:rPr>
          <w:rFonts w:ascii="Times New Roman" w:hAnsi="Times New Roman" w:cs="Times New Roman"/>
          <w:color w:val="auto"/>
        </w:rPr>
        <w:t xml:space="preserve">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та міської ради про встановлення туристичного збору, та отримують (споживають) послуги з тимчасового проживання (ночівлі) із зобов'язанням залишити місце перебування в зазначений строк (ст. 268.2 ПКУ).</w:t>
      </w:r>
    </w:p>
    <w:p w14:paraId="7F21A194" w14:textId="77777777" w:rsidR="00856AB8" w:rsidRPr="00856AB8" w:rsidRDefault="00856AB8" w:rsidP="00856AB8">
      <w:pPr>
        <w:pStyle w:val="40"/>
        <w:framePr w:w="9696" w:h="14471" w:hRule="exact" w:wrap="none" w:vAnchor="page" w:hAnchor="page" w:x="1322" w:y="1183"/>
        <w:shd w:val="clear" w:color="auto" w:fill="auto"/>
        <w:spacing w:before="0" w:line="322" w:lineRule="exact"/>
        <w:ind w:firstLine="600"/>
        <w:jc w:val="both"/>
        <w:rPr>
          <w:sz w:val="24"/>
          <w:szCs w:val="24"/>
        </w:rPr>
      </w:pPr>
      <w:r w:rsidRPr="00856AB8">
        <w:rPr>
          <w:sz w:val="24"/>
          <w:szCs w:val="24"/>
        </w:rPr>
        <w:t>Платниками збору не можуть бути особи</w:t>
      </w:r>
      <w:r w:rsidRPr="00856AB8">
        <w:rPr>
          <w:rStyle w:val="41"/>
          <w:sz w:val="24"/>
          <w:szCs w:val="24"/>
        </w:rPr>
        <w:t xml:space="preserve">, </w:t>
      </w:r>
      <w:r w:rsidRPr="00856AB8">
        <w:rPr>
          <w:sz w:val="24"/>
          <w:szCs w:val="24"/>
        </w:rPr>
        <w:t>які (ст. 268.2.2):</w:t>
      </w:r>
    </w:p>
    <w:p w14:paraId="4840B888" w14:textId="77777777" w:rsidR="00856AB8" w:rsidRPr="00856AB8" w:rsidRDefault="00856AB8" w:rsidP="00856AB8">
      <w:pPr>
        <w:rPr>
          <w:rFonts w:ascii="Times New Roman" w:hAnsi="Times New Roman" w:cs="Times New Roman"/>
          <w:color w:val="auto"/>
        </w:rPr>
        <w:sectPr w:rsidR="00856AB8" w:rsidRPr="00856AB8">
          <w:pgSz w:w="11900" w:h="16840"/>
          <w:pgMar w:top="360" w:right="360" w:bottom="360" w:left="360" w:header="0" w:footer="3" w:gutter="0"/>
          <w:cols w:space="720"/>
          <w:noEndnote/>
          <w:docGrid w:linePitch="360"/>
        </w:sectPr>
      </w:pPr>
    </w:p>
    <w:p w14:paraId="2DA4BFCE" w14:textId="77777777" w:rsidR="00856AB8" w:rsidRPr="00856AB8" w:rsidRDefault="00856AB8" w:rsidP="00856AB8">
      <w:pPr>
        <w:framePr w:w="9725" w:h="14677" w:hRule="exact" w:wrap="none" w:vAnchor="page" w:hAnchor="page" w:x="1441" w:y="1012"/>
        <w:numPr>
          <w:ilvl w:val="0"/>
          <w:numId w:val="6"/>
        </w:numPr>
        <w:tabs>
          <w:tab w:val="left" w:pos="567"/>
        </w:tabs>
        <w:spacing w:line="322" w:lineRule="exact"/>
        <w:jc w:val="both"/>
        <w:rPr>
          <w:rFonts w:ascii="Times New Roman" w:hAnsi="Times New Roman" w:cs="Times New Roman"/>
          <w:color w:val="auto"/>
        </w:rPr>
      </w:pPr>
      <w:r w:rsidRPr="00856AB8">
        <w:rPr>
          <w:rFonts w:ascii="Times New Roman" w:hAnsi="Times New Roman" w:cs="Times New Roman"/>
          <w:color w:val="auto"/>
        </w:rPr>
        <w:lastRenderedPageBreak/>
        <w:t>постійно проживають, у тому числі на умовах договорів найму, у селі, селищі або місті, радами яких встановлено такий збір;</w:t>
      </w:r>
    </w:p>
    <w:p w14:paraId="245F074C" w14:textId="77777777" w:rsidR="00856AB8" w:rsidRPr="00856AB8" w:rsidRDefault="00856AB8" w:rsidP="00856AB8">
      <w:pPr>
        <w:framePr w:w="9725" w:h="14677" w:hRule="exact" w:wrap="none" w:vAnchor="page" w:hAnchor="page" w:x="1441" w:y="1012"/>
        <w:numPr>
          <w:ilvl w:val="0"/>
          <w:numId w:val="6"/>
        </w:numPr>
        <w:tabs>
          <w:tab w:val="left" w:pos="567"/>
        </w:tabs>
        <w:spacing w:line="322" w:lineRule="exact"/>
        <w:jc w:val="both"/>
        <w:rPr>
          <w:rFonts w:ascii="Times New Roman" w:hAnsi="Times New Roman" w:cs="Times New Roman"/>
          <w:color w:val="auto"/>
        </w:rPr>
      </w:pPr>
      <w:r w:rsidRPr="00856AB8">
        <w:rPr>
          <w:rFonts w:ascii="Times New Roman" w:hAnsi="Times New Roman" w:cs="Times New Roman"/>
          <w:color w:val="auto"/>
        </w:rPr>
        <w:t>особи, які прибули у відрядження;</w:t>
      </w:r>
    </w:p>
    <w:p w14:paraId="6CA7B0B2" w14:textId="77777777" w:rsidR="00856AB8" w:rsidRPr="00856AB8" w:rsidRDefault="00856AB8" w:rsidP="00856AB8">
      <w:pPr>
        <w:framePr w:w="9725" w:h="14677" w:hRule="exact" w:wrap="none" w:vAnchor="page" w:hAnchor="page" w:x="1441" w:y="1012"/>
        <w:numPr>
          <w:ilvl w:val="0"/>
          <w:numId w:val="6"/>
        </w:numPr>
        <w:tabs>
          <w:tab w:val="left" w:pos="567"/>
        </w:tabs>
        <w:spacing w:line="322" w:lineRule="exact"/>
        <w:jc w:val="both"/>
        <w:rPr>
          <w:rFonts w:ascii="Times New Roman" w:hAnsi="Times New Roman" w:cs="Times New Roman"/>
          <w:color w:val="auto"/>
        </w:rPr>
      </w:pPr>
      <w:r w:rsidRPr="00856AB8">
        <w:rPr>
          <w:rFonts w:ascii="Times New Roman" w:hAnsi="Times New Roman" w:cs="Times New Roman"/>
          <w:color w:val="auto"/>
        </w:rPr>
        <w:t>інваліди, діти-інваліди та особи, що супроводжують інвалідів I групи або дітей-інвалідів (не більше одного супроводжуючого);</w:t>
      </w:r>
    </w:p>
    <w:p w14:paraId="78327E71" w14:textId="77777777" w:rsidR="00856AB8" w:rsidRPr="00856AB8" w:rsidRDefault="00856AB8" w:rsidP="00856AB8">
      <w:pPr>
        <w:framePr w:w="9725" w:h="14677" w:hRule="exact" w:wrap="none" w:vAnchor="page" w:hAnchor="page" w:x="1441" w:y="1012"/>
        <w:numPr>
          <w:ilvl w:val="0"/>
          <w:numId w:val="6"/>
        </w:numPr>
        <w:tabs>
          <w:tab w:val="left" w:pos="567"/>
        </w:tabs>
        <w:spacing w:line="322" w:lineRule="exact"/>
        <w:jc w:val="both"/>
        <w:rPr>
          <w:rFonts w:ascii="Times New Roman" w:hAnsi="Times New Roman" w:cs="Times New Roman"/>
          <w:color w:val="auto"/>
        </w:rPr>
      </w:pPr>
      <w:r w:rsidRPr="00856AB8">
        <w:rPr>
          <w:rFonts w:ascii="Times New Roman" w:hAnsi="Times New Roman" w:cs="Times New Roman"/>
          <w:color w:val="auto"/>
        </w:rPr>
        <w:t>ветерани війн;</w:t>
      </w:r>
    </w:p>
    <w:p w14:paraId="4429B6E7" w14:textId="77777777" w:rsidR="00856AB8" w:rsidRPr="00856AB8" w:rsidRDefault="00856AB8" w:rsidP="00856AB8">
      <w:pPr>
        <w:framePr w:w="9725" w:h="14677" w:hRule="exact" w:wrap="none" w:vAnchor="page" w:hAnchor="page" w:x="1441" w:y="1012"/>
        <w:numPr>
          <w:ilvl w:val="0"/>
          <w:numId w:val="6"/>
        </w:numPr>
        <w:tabs>
          <w:tab w:val="left" w:pos="567"/>
        </w:tabs>
        <w:spacing w:line="322" w:lineRule="exact"/>
        <w:jc w:val="both"/>
        <w:rPr>
          <w:rFonts w:ascii="Times New Roman" w:hAnsi="Times New Roman" w:cs="Times New Roman"/>
          <w:color w:val="auto"/>
        </w:rPr>
      </w:pPr>
      <w:r w:rsidRPr="00856AB8">
        <w:rPr>
          <w:rFonts w:ascii="Times New Roman" w:hAnsi="Times New Roman" w:cs="Times New Roman"/>
          <w:color w:val="auto"/>
        </w:rPr>
        <w:t>учасники ліквідації наслідків аварії на Чорнобильській АЕС (тощо);</w:t>
      </w:r>
    </w:p>
    <w:p w14:paraId="0F5A8D85" w14:textId="77777777" w:rsidR="00856AB8" w:rsidRPr="00856AB8" w:rsidRDefault="00856AB8" w:rsidP="00856AB8">
      <w:pPr>
        <w:framePr w:w="9725" w:h="14677" w:hRule="exact" w:wrap="none" w:vAnchor="page" w:hAnchor="page" w:x="1441" w:y="1012"/>
        <w:numPr>
          <w:ilvl w:val="0"/>
          <w:numId w:val="6"/>
        </w:numPr>
        <w:tabs>
          <w:tab w:val="left" w:pos="567"/>
        </w:tabs>
        <w:spacing w:line="322" w:lineRule="exact"/>
        <w:jc w:val="both"/>
        <w:rPr>
          <w:rFonts w:ascii="Times New Roman" w:hAnsi="Times New Roman" w:cs="Times New Roman"/>
          <w:color w:val="auto"/>
        </w:rPr>
      </w:pPr>
      <w:r w:rsidRPr="00856AB8">
        <w:rPr>
          <w:rFonts w:ascii="Times New Roman" w:hAnsi="Times New Roman" w:cs="Times New Roman"/>
          <w:color w:val="auto"/>
        </w:rPr>
        <w:t>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 здоров’я;</w:t>
      </w:r>
    </w:p>
    <w:p w14:paraId="1FF3D360" w14:textId="77777777" w:rsidR="00856AB8" w:rsidRPr="00856AB8" w:rsidRDefault="00856AB8" w:rsidP="00856AB8">
      <w:pPr>
        <w:framePr w:w="9725" w:h="14677" w:hRule="exact" w:wrap="none" w:vAnchor="page" w:hAnchor="page" w:x="1441" w:y="1012"/>
        <w:numPr>
          <w:ilvl w:val="0"/>
          <w:numId w:val="6"/>
        </w:numPr>
        <w:tabs>
          <w:tab w:val="left" w:pos="567"/>
        </w:tabs>
        <w:spacing w:line="322" w:lineRule="exact"/>
        <w:jc w:val="both"/>
        <w:rPr>
          <w:rFonts w:ascii="Times New Roman" w:hAnsi="Times New Roman" w:cs="Times New Roman"/>
          <w:color w:val="auto"/>
        </w:rPr>
      </w:pPr>
      <w:r w:rsidRPr="00856AB8">
        <w:rPr>
          <w:rFonts w:ascii="Times New Roman" w:hAnsi="Times New Roman" w:cs="Times New Roman"/>
          <w:color w:val="auto"/>
        </w:rPr>
        <w:t>діти віком до 18 років;</w:t>
      </w:r>
    </w:p>
    <w:p w14:paraId="6800DC38" w14:textId="77777777" w:rsidR="00856AB8" w:rsidRPr="00856AB8" w:rsidRDefault="00856AB8" w:rsidP="00856AB8">
      <w:pPr>
        <w:framePr w:w="9725" w:h="14677" w:hRule="exact" w:wrap="none" w:vAnchor="page" w:hAnchor="page" w:x="1441" w:y="1012"/>
        <w:numPr>
          <w:ilvl w:val="0"/>
          <w:numId w:val="6"/>
        </w:numPr>
        <w:tabs>
          <w:tab w:val="left" w:pos="567"/>
        </w:tabs>
        <w:spacing w:line="322" w:lineRule="exact"/>
        <w:jc w:val="both"/>
        <w:rPr>
          <w:rFonts w:ascii="Times New Roman" w:hAnsi="Times New Roman" w:cs="Times New Roman"/>
          <w:color w:val="auto"/>
        </w:rPr>
      </w:pPr>
      <w:r w:rsidRPr="00856AB8">
        <w:rPr>
          <w:rFonts w:ascii="Times New Roman" w:hAnsi="Times New Roman" w:cs="Times New Roman"/>
          <w:color w:val="auto"/>
        </w:rPr>
        <w:t>дитячі лікувально-профілактичні, фізкультурно-оздоровчі та санаторно- курортні заклади.</w:t>
      </w:r>
    </w:p>
    <w:p w14:paraId="040D4217" w14:textId="77777777" w:rsidR="00856AB8" w:rsidRPr="00856AB8" w:rsidRDefault="00856AB8" w:rsidP="00856AB8">
      <w:pPr>
        <w:framePr w:w="9725" w:h="14677" w:hRule="exact" w:wrap="none" w:vAnchor="page" w:hAnchor="page" w:x="1441" w:y="1012"/>
        <w:spacing w:line="322" w:lineRule="exact"/>
        <w:rPr>
          <w:rFonts w:ascii="Times New Roman" w:hAnsi="Times New Roman" w:cs="Times New Roman"/>
          <w:color w:val="auto"/>
        </w:rPr>
      </w:pPr>
      <w:r w:rsidRPr="00856AB8">
        <w:rPr>
          <w:rStyle w:val="24"/>
          <w:rFonts w:eastAsia="Microsoft Sans Serif"/>
          <w:color w:val="auto"/>
          <w:sz w:val="24"/>
          <w:szCs w:val="24"/>
        </w:rPr>
        <w:t>Базою справляння</w:t>
      </w:r>
      <w:r w:rsidRPr="00856AB8">
        <w:rPr>
          <w:rFonts w:ascii="Times New Roman" w:hAnsi="Times New Roman" w:cs="Times New Roman"/>
          <w:color w:val="auto"/>
        </w:rPr>
        <w:t xml:space="preserve"> </w:t>
      </w:r>
      <w:r w:rsidRPr="00856AB8">
        <w:rPr>
          <w:rStyle w:val="23"/>
          <w:rFonts w:eastAsia="Microsoft Sans Serif"/>
          <w:color w:val="auto"/>
          <w:sz w:val="24"/>
          <w:szCs w:val="24"/>
        </w:rPr>
        <w:t xml:space="preserve">Базою справляння збору є загальна кількість діб тимчасового розміщення у місцях проживання (ночівлі) </w:t>
      </w:r>
      <w:r w:rsidRPr="00856AB8">
        <w:rPr>
          <w:rFonts w:ascii="Times New Roman" w:hAnsi="Times New Roman" w:cs="Times New Roman"/>
          <w:color w:val="auto"/>
        </w:rPr>
        <w:t>(ст. 268.4 ПКУ).</w:t>
      </w:r>
    </w:p>
    <w:p w14:paraId="0BAD157F" w14:textId="77777777" w:rsidR="00856AB8" w:rsidRPr="00856AB8" w:rsidRDefault="00856AB8" w:rsidP="00856AB8">
      <w:pPr>
        <w:framePr w:w="9725" w:h="14677" w:hRule="exact" w:wrap="none" w:vAnchor="page" w:hAnchor="page" w:x="1441" w:y="1012"/>
        <w:spacing w:line="322" w:lineRule="exact"/>
        <w:ind w:firstLine="620"/>
        <w:rPr>
          <w:rFonts w:ascii="Times New Roman" w:hAnsi="Times New Roman" w:cs="Times New Roman"/>
          <w:color w:val="auto"/>
        </w:rPr>
      </w:pPr>
      <w:r w:rsidRPr="00856AB8">
        <w:rPr>
          <w:rFonts w:ascii="Times New Roman" w:hAnsi="Times New Roman" w:cs="Times New Roman"/>
          <w:color w:val="auto"/>
        </w:rPr>
        <w:t xml:space="preserve">Згідно з рішенням сільської, селищної та міської ради </w:t>
      </w:r>
      <w:r w:rsidRPr="00856AB8">
        <w:rPr>
          <w:rStyle w:val="24"/>
          <w:rFonts w:eastAsia="Microsoft Sans Serif"/>
          <w:color w:val="auto"/>
          <w:sz w:val="24"/>
          <w:szCs w:val="24"/>
        </w:rPr>
        <w:t>справляння збору може здійснюватися:</w:t>
      </w:r>
    </w:p>
    <w:p w14:paraId="0A1E51E7" w14:textId="77777777" w:rsidR="00856AB8" w:rsidRPr="00856AB8" w:rsidRDefault="00856AB8" w:rsidP="00856AB8">
      <w:pPr>
        <w:framePr w:w="9725" w:h="14677" w:hRule="exact" w:wrap="none" w:vAnchor="page" w:hAnchor="page" w:x="1441" w:y="1012"/>
        <w:numPr>
          <w:ilvl w:val="0"/>
          <w:numId w:val="7"/>
        </w:numPr>
        <w:tabs>
          <w:tab w:val="left" w:pos="567"/>
        </w:tabs>
        <w:spacing w:after="120" w:line="322" w:lineRule="exact"/>
        <w:jc w:val="both"/>
        <w:rPr>
          <w:rFonts w:ascii="Times New Roman" w:hAnsi="Times New Roman" w:cs="Times New Roman"/>
          <w:color w:val="auto"/>
        </w:rPr>
      </w:pPr>
      <w:r w:rsidRPr="00856AB8">
        <w:rPr>
          <w:rFonts w:ascii="Times New Roman" w:hAnsi="Times New Roman" w:cs="Times New Roman"/>
          <w:color w:val="auto"/>
        </w:rPr>
        <w:t>адміністраціями готелів, кемпінгів, мотелів, та іншими закладами готельного типу, санаторно-курортними закладами;</w:t>
      </w:r>
    </w:p>
    <w:p w14:paraId="4838B733" w14:textId="77777777" w:rsidR="00856AB8" w:rsidRPr="00856AB8" w:rsidRDefault="00856AB8" w:rsidP="00856AB8">
      <w:pPr>
        <w:framePr w:w="9725" w:h="14677" w:hRule="exact" w:wrap="none" w:vAnchor="page" w:hAnchor="page" w:x="1441" w:y="1012"/>
        <w:numPr>
          <w:ilvl w:val="0"/>
          <w:numId w:val="7"/>
        </w:numPr>
        <w:tabs>
          <w:tab w:val="left" w:pos="567"/>
        </w:tabs>
        <w:spacing w:line="322" w:lineRule="exact"/>
        <w:jc w:val="both"/>
        <w:rPr>
          <w:rFonts w:ascii="Times New Roman" w:hAnsi="Times New Roman" w:cs="Times New Roman"/>
          <w:color w:val="auto"/>
        </w:rPr>
      </w:pPr>
      <w:proofErr w:type="spellStart"/>
      <w:r w:rsidRPr="00856AB8">
        <w:rPr>
          <w:rFonts w:ascii="Times New Roman" w:hAnsi="Times New Roman" w:cs="Times New Roman"/>
          <w:color w:val="auto"/>
        </w:rPr>
        <w:t>квартирно</w:t>
      </w:r>
      <w:proofErr w:type="spellEnd"/>
      <w:r w:rsidRPr="00856AB8">
        <w:rPr>
          <w:rFonts w:ascii="Times New Roman" w:hAnsi="Times New Roman" w:cs="Times New Roman"/>
          <w:color w:val="auto"/>
        </w:rPr>
        <w:t>-посередницькими організаціями, які направляють неорганізованих осіб на поселення у будинки (квартири), що належать фізичним особам;</w:t>
      </w:r>
    </w:p>
    <w:p w14:paraId="42D906C7" w14:textId="77777777" w:rsidR="00856AB8" w:rsidRPr="00856AB8" w:rsidRDefault="00856AB8" w:rsidP="00856AB8">
      <w:pPr>
        <w:framePr w:w="9725" w:h="14677" w:hRule="exact" w:wrap="none" w:vAnchor="page" w:hAnchor="page" w:x="1441" w:y="1012"/>
        <w:numPr>
          <w:ilvl w:val="0"/>
          <w:numId w:val="7"/>
        </w:numPr>
        <w:tabs>
          <w:tab w:val="left" w:pos="567"/>
        </w:tabs>
        <w:spacing w:line="322" w:lineRule="exact"/>
        <w:jc w:val="both"/>
        <w:rPr>
          <w:rFonts w:ascii="Times New Roman" w:hAnsi="Times New Roman" w:cs="Times New Roman"/>
          <w:color w:val="auto"/>
        </w:rPr>
      </w:pPr>
      <w:r w:rsidRPr="00856AB8">
        <w:rPr>
          <w:rFonts w:ascii="Times New Roman" w:hAnsi="Times New Roman" w:cs="Times New Roman"/>
          <w:color w:val="auto"/>
        </w:rPr>
        <w:t>юридичними особами або фізичними особами - підприємцями, які уповноважуються сільською, селищною або міською радою справляти збір на умовах договору, укладеного з відповідною радою.</w:t>
      </w:r>
    </w:p>
    <w:p w14:paraId="1AE5E5AC" w14:textId="77777777" w:rsidR="00856AB8" w:rsidRPr="00856AB8" w:rsidRDefault="00856AB8" w:rsidP="00856AB8">
      <w:pPr>
        <w:framePr w:w="9725" w:h="14677" w:hRule="exact" w:wrap="none" w:vAnchor="page" w:hAnchor="page" w:x="1441" w:y="1012"/>
        <w:spacing w:line="322" w:lineRule="exact"/>
        <w:ind w:right="980" w:firstLine="620"/>
        <w:jc w:val="both"/>
        <w:rPr>
          <w:rFonts w:ascii="Times New Roman" w:hAnsi="Times New Roman" w:cs="Times New Roman"/>
          <w:color w:val="auto"/>
        </w:rPr>
      </w:pPr>
      <w:bookmarkStart w:id="9" w:name="bookmark89"/>
      <w:r w:rsidRPr="00856AB8">
        <w:rPr>
          <w:rFonts w:ascii="Times New Roman" w:hAnsi="Times New Roman" w:cs="Times New Roman"/>
          <w:color w:val="auto"/>
        </w:rPr>
        <w:t xml:space="preserve">Ставка встановлюється у розмірі </w:t>
      </w:r>
      <w:r w:rsidRPr="00856AB8">
        <w:rPr>
          <w:rStyle w:val="23"/>
          <w:rFonts w:eastAsia="Microsoft Sans Serif"/>
          <w:color w:val="auto"/>
          <w:sz w:val="24"/>
          <w:szCs w:val="24"/>
        </w:rPr>
        <w:t>до 0,5 відсотка - для внутрішнього туризму та до 5 відсотків - для в’їзного туризму від розміру мінімальної заробітної плати</w:t>
      </w:r>
      <w:r w:rsidRPr="00856AB8">
        <w:rPr>
          <w:rFonts w:ascii="Times New Roman" w:hAnsi="Times New Roman" w:cs="Times New Roman"/>
          <w:color w:val="auto"/>
        </w:rPr>
        <w:t>.</w:t>
      </w:r>
      <w:bookmarkEnd w:id="9"/>
    </w:p>
    <w:p w14:paraId="00A8C81D" w14:textId="77777777" w:rsidR="00856AB8" w:rsidRPr="00856AB8" w:rsidRDefault="00856AB8" w:rsidP="00856AB8">
      <w:pPr>
        <w:framePr w:w="9725" w:h="14677" w:hRule="exact" w:wrap="none" w:vAnchor="page" w:hAnchor="page" w:x="1441" w:y="1012"/>
        <w:spacing w:line="322" w:lineRule="exact"/>
        <w:ind w:firstLine="620"/>
        <w:rPr>
          <w:rFonts w:ascii="Times New Roman" w:hAnsi="Times New Roman" w:cs="Times New Roman"/>
          <w:color w:val="auto"/>
        </w:rPr>
      </w:pPr>
      <w:r w:rsidRPr="00856AB8">
        <w:rPr>
          <w:rFonts w:ascii="Times New Roman" w:hAnsi="Times New Roman" w:cs="Times New Roman"/>
          <w:color w:val="auto"/>
        </w:rPr>
        <w:t>Отже, сума туристичного збору розраховується наступним чином:</w:t>
      </w:r>
    </w:p>
    <w:p w14:paraId="66119EBB" w14:textId="77777777" w:rsidR="00856AB8" w:rsidRPr="00856AB8" w:rsidRDefault="00856AB8" w:rsidP="00856AB8">
      <w:pPr>
        <w:pStyle w:val="30"/>
        <w:framePr w:w="9725" w:h="14677" w:hRule="exact" w:wrap="none" w:vAnchor="page" w:hAnchor="page" w:x="1441" w:y="1012"/>
        <w:shd w:val="clear" w:color="auto" w:fill="auto"/>
        <w:spacing w:before="0" w:after="296" w:line="317" w:lineRule="exact"/>
        <w:ind w:left="360" w:firstLine="440"/>
        <w:jc w:val="left"/>
        <w:rPr>
          <w:sz w:val="24"/>
          <w:szCs w:val="24"/>
        </w:rPr>
      </w:pPr>
      <w:r w:rsidRPr="00856AB8">
        <w:rPr>
          <w:sz w:val="24"/>
          <w:szCs w:val="24"/>
        </w:rPr>
        <w:t>Сума туристичного збору = мінімальна заробітна плата встановлена на 1 січня поточного року*ставка збору*кількість днів перебування на території, для якої встановлено туристичним збір</w:t>
      </w:r>
    </w:p>
    <w:p w14:paraId="4D034D7E" w14:textId="77777777" w:rsidR="00856AB8" w:rsidRPr="00856AB8" w:rsidRDefault="00856AB8" w:rsidP="00856AB8">
      <w:pPr>
        <w:pStyle w:val="21"/>
        <w:framePr w:w="9725" w:h="14677" w:hRule="exact" w:wrap="none" w:vAnchor="page" w:hAnchor="page" w:x="1441" w:y="1012"/>
        <w:numPr>
          <w:ilvl w:val="1"/>
          <w:numId w:val="16"/>
        </w:numPr>
        <w:shd w:val="clear" w:color="auto" w:fill="auto"/>
        <w:tabs>
          <w:tab w:val="left" w:pos="3958"/>
        </w:tabs>
        <w:spacing w:after="0" w:line="322" w:lineRule="exact"/>
        <w:ind w:right="3480"/>
        <w:jc w:val="left"/>
        <w:rPr>
          <w:sz w:val="24"/>
          <w:szCs w:val="24"/>
        </w:rPr>
      </w:pPr>
      <w:bookmarkStart w:id="10" w:name="bookmark90"/>
      <w:r w:rsidRPr="00856AB8">
        <w:rPr>
          <w:sz w:val="24"/>
          <w:szCs w:val="24"/>
        </w:rPr>
        <w:t>Земельний податок Платниками податку є:</w:t>
      </w:r>
      <w:bookmarkEnd w:id="10"/>
    </w:p>
    <w:p w14:paraId="12C0ACC0" w14:textId="77777777" w:rsidR="00856AB8" w:rsidRPr="00856AB8" w:rsidRDefault="00856AB8" w:rsidP="00856AB8">
      <w:pPr>
        <w:framePr w:w="9725" w:h="14677" w:hRule="exact" w:wrap="none" w:vAnchor="page" w:hAnchor="page" w:x="1441" w:y="1012"/>
        <w:spacing w:line="322" w:lineRule="exact"/>
        <w:ind w:left="620"/>
        <w:rPr>
          <w:rFonts w:ascii="Times New Roman" w:hAnsi="Times New Roman" w:cs="Times New Roman"/>
          <w:color w:val="auto"/>
        </w:rPr>
      </w:pPr>
      <w:r w:rsidRPr="00856AB8">
        <w:rPr>
          <w:rFonts w:ascii="Times New Roman" w:hAnsi="Times New Roman" w:cs="Times New Roman"/>
          <w:color w:val="auto"/>
        </w:rPr>
        <w:t>власники земельних ділянок, земельних часток (паїв); землекористувачі.</w:t>
      </w:r>
    </w:p>
    <w:p w14:paraId="04AFEA4A" w14:textId="77777777" w:rsidR="00856AB8" w:rsidRPr="00856AB8" w:rsidRDefault="00856AB8" w:rsidP="00856AB8">
      <w:pPr>
        <w:framePr w:w="9725" w:h="14677" w:hRule="exact" w:wrap="none" w:vAnchor="page" w:hAnchor="page" w:x="1441" w:y="1012"/>
        <w:spacing w:line="322" w:lineRule="exact"/>
        <w:ind w:firstLine="620"/>
        <w:rPr>
          <w:rFonts w:ascii="Times New Roman" w:hAnsi="Times New Roman" w:cs="Times New Roman"/>
          <w:color w:val="auto"/>
        </w:rPr>
      </w:pPr>
      <w:r w:rsidRPr="00856AB8">
        <w:rPr>
          <w:rStyle w:val="22"/>
          <w:rFonts w:eastAsia="Microsoft Sans Serif"/>
          <w:color w:val="auto"/>
          <w:sz w:val="24"/>
          <w:szCs w:val="24"/>
        </w:rPr>
        <w:t xml:space="preserve">Об’єктами оподаткування </w:t>
      </w:r>
      <w:r w:rsidRPr="00856AB8">
        <w:rPr>
          <w:rFonts w:ascii="Times New Roman" w:hAnsi="Times New Roman" w:cs="Times New Roman"/>
          <w:color w:val="auto"/>
        </w:rPr>
        <w:t>є земельні ділянки (частки, паї), які перебувають у власності або користуванні:</w:t>
      </w:r>
    </w:p>
    <w:p w14:paraId="6BBBD69F" w14:textId="77777777" w:rsidR="00856AB8" w:rsidRPr="00856AB8" w:rsidRDefault="00856AB8" w:rsidP="00856AB8">
      <w:pPr>
        <w:pStyle w:val="30"/>
        <w:framePr w:w="9725" w:h="14677" w:hRule="exact" w:wrap="none" w:vAnchor="page" w:hAnchor="page" w:x="1441" w:y="1012"/>
        <w:shd w:val="clear" w:color="auto" w:fill="auto"/>
        <w:spacing w:before="0" w:after="0" w:line="322" w:lineRule="exact"/>
        <w:ind w:firstLine="620"/>
        <w:jc w:val="left"/>
        <w:rPr>
          <w:sz w:val="24"/>
          <w:szCs w:val="24"/>
        </w:rPr>
      </w:pPr>
      <w:r w:rsidRPr="00856AB8">
        <w:rPr>
          <w:sz w:val="24"/>
          <w:szCs w:val="24"/>
        </w:rPr>
        <w:t>База оподаткування:</w:t>
      </w:r>
    </w:p>
    <w:p w14:paraId="20258561" w14:textId="77777777" w:rsidR="00856AB8" w:rsidRPr="00856AB8" w:rsidRDefault="00856AB8" w:rsidP="00856AB8">
      <w:pPr>
        <w:framePr w:w="9725" w:h="14677" w:hRule="exact" w:wrap="none" w:vAnchor="page" w:hAnchor="page" w:x="1441" w:y="1012"/>
        <w:spacing w:line="322" w:lineRule="exact"/>
        <w:ind w:firstLine="620"/>
        <w:rPr>
          <w:rFonts w:ascii="Times New Roman" w:hAnsi="Times New Roman" w:cs="Times New Roman"/>
          <w:color w:val="auto"/>
        </w:rPr>
      </w:pPr>
      <w:r w:rsidRPr="00856AB8">
        <w:rPr>
          <w:rFonts w:ascii="Times New Roman" w:hAnsi="Times New Roman" w:cs="Times New Roman"/>
          <w:color w:val="auto"/>
        </w:rPr>
        <w:t>нормативна грошова оцінка земельних ділянок з урахуванням коефіцієнта індексації;</w:t>
      </w:r>
    </w:p>
    <w:p w14:paraId="5A7A9834" w14:textId="77777777" w:rsidR="00856AB8" w:rsidRPr="00856AB8" w:rsidRDefault="00856AB8" w:rsidP="00856AB8">
      <w:pPr>
        <w:framePr w:w="9725" w:h="14677" w:hRule="exact" w:wrap="none" w:vAnchor="page" w:hAnchor="page" w:x="1441" w:y="1012"/>
        <w:spacing w:line="322" w:lineRule="exact"/>
        <w:ind w:firstLine="620"/>
        <w:rPr>
          <w:rFonts w:ascii="Times New Roman" w:hAnsi="Times New Roman" w:cs="Times New Roman"/>
          <w:color w:val="auto"/>
        </w:rPr>
      </w:pPr>
      <w:r w:rsidRPr="00856AB8">
        <w:rPr>
          <w:rFonts w:ascii="Times New Roman" w:hAnsi="Times New Roman" w:cs="Times New Roman"/>
          <w:color w:val="auto"/>
        </w:rPr>
        <w:t>площа земельних ділянок, нормативну грошову оцінку яких не проведено.</w:t>
      </w:r>
    </w:p>
    <w:p w14:paraId="2C2DE50C" w14:textId="77777777" w:rsidR="00856AB8" w:rsidRPr="00856AB8" w:rsidRDefault="00856AB8" w:rsidP="00856AB8">
      <w:pPr>
        <w:rPr>
          <w:rFonts w:ascii="Times New Roman" w:hAnsi="Times New Roman" w:cs="Times New Roman"/>
          <w:color w:val="auto"/>
        </w:rPr>
        <w:sectPr w:rsidR="00856AB8" w:rsidRPr="00856AB8">
          <w:pgSz w:w="11900" w:h="16840"/>
          <w:pgMar w:top="360" w:right="360" w:bottom="360" w:left="360" w:header="0" w:footer="3" w:gutter="0"/>
          <w:cols w:space="720"/>
          <w:noEndnote/>
          <w:docGrid w:linePitch="360"/>
        </w:sectPr>
      </w:pPr>
    </w:p>
    <w:p w14:paraId="08D9D491" w14:textId="77777777" w:rsidR="00856AB8" w:rsidRPr="00856AB8" w:rsidRDefault="00856AB8" w:rsidP="00856AB8">
      <w:pPr>
        <w:framePr w:w="9696" w:h="14840" w:hRule="exact" w:wrap="none" w:vAnchor="page" w:hAnchor="page" w:x="1264" w:y="1131"/>
        <w:spacing w:line="322" w:lineRule="exact"/>
        <w:ind w:firstLine="600"/>
        <w:jc w:val="both"/>
        <w:rPr>
          <w:rFonts w:ascii="Times New Roman" w:hAnsi="Times New Roman" w:cs="Times New Roman"/>
          <w:color w:val="auto"/>
        </w:rPr>
      </w:pPr>
      <w:r w:rsidRPr="00856AB8">
        <w:rPr>
          <w:rStyle w:val="22"/>
          <w:rFonts w:eastAsia="Microsoft Sans Serif"/>
          <w:color w:val="auto"/>
          <w:sz w:val="24"/>
          <w:szCs w:val="24"/>
        </w:rPr>
        <w:lastRenderedPageBreak/>
        <w:t xml:space="preserve">Ставка податку за земельні ділянки, </w:t>
      </w:r>
      <w:r w:rsidRPr="00856AB8">
        <w:rPr>
          <w:rFonts w:ascii="Times New Roman" w:hAnsi="Times New Roman" w:cs="Times New Roman"/>
          <w:color w:val="auto"/>
        </w:rPr>
        <w:t xml:space="preserve">нормативну грошову оцінку яких проведено, встановлюється у розмірі не більше 3 відсотків від їх нормативної грошової оцінки, </w:t>
      </w:r>
      <w:r w:rsidRPr="00856AB8">
        <w:rPr>
          <w:rStyle w:val="23"/>
          <w:rFonts w:eastAsia="Microsoft Sans Serif"/>
          <w:color w:val="auto"/>
          <w:sz w:val="24"/>
          <w:szCs w:val="24"/>
        </w:rPr>
        <w:t xml:space="preserve">для земель загального користування - не більше 1 відсотка від їх нормативної грошової оцінки, а для сільськогосподарських угідь - не менше 0,3 відсотка та </w:t>
      </w:r>
      <w:r w:rsidRPr="00856AB8">
        <w:rPr>
          <w:rFonts w:ascii="Times New Roman" w:hAnsi="Times New Roman" w:cs="Times New Roman"/>
          <w:color w:val="auto"/>
        </w:rPr>
        <w:t xml:space="preserve">не більше 1 відсотка від їх нормативної грошової оцінки, </w:t>
      </w:r>
      <w:r w:rsidRPr="00856AB8">
        <w:rPr>
          <w:rStyle w:val="23"/>
          <w:rFonts w:eastAsia="Microsoft Sans Serif"/>
          <w:color w:val="auto"/>
          <w:sz w:val="24"/>
          <w:szCs w:val="24"/>
        </w:rPr>
        <w:t>а для лісових земель - не більше 0,1 відсотка від їх нормативної грошової оцінки</w:t>
      </w:r>
      <w:r w:rsidRPr="00856AB8">
        <w:rPr>
          <w:rStyle w:val="22"/>
          <w:rFonts w:eastAsia="Microsoft Sans Serif"/>
          <w:color w:val="auto"/>
          <w:sz w:val="24"/>
          <w:szCs w:val="24"/>
        </w:rPr>
        <w:t>.</w:t>
      </w:r>
    </w:p>
    <w:p w14:paraId="27BC69C3" w14:textId="77777777" w:rsidR="00856AB8" w:rsidRPr="00856AB8" w:rsidRDefault="00856AB8" w:rsidP="00856AB8">
      <w:pPr>
        <w:framePr w:w="9696" w:h="14840" w:hRule="exact" w:wrap="none" w:vAnchor="page" w:hAnchor="page" w:x="1264" w:y="1131"/>
        <w:spacing w:line="322" w:lineRule="exact"/>
        <w:ind w:firstLine="600"/>
        <w:jc w:val="both"/>
        <w:rPr>
          <w:rFonts w:ascii="Times New Roman" w:hAnsi="Times New Roman" w:cs="Times New Roman"/>
          <w:color w:val="auto"/>
        </w:rPr>
      </w:pPr>
      <w:r w:rsidRPr="00856AB8">
        <w:rPr>
          <w:rStyle w:val="22"/>
          <w:rFonts w:eastAsia="Microsoft Sans Serif"/>
          <w:color w:val="auto"/>
          <w:sz w:val="24"/>
          <w:szCs w:val="24"/>
        </w:rPr>
        <w:t xml:space="preserve">Ставка податку </w:t>
      </w:r>
      <w:r w:rsidRPr="00856AB8">
        <w:rPr>
          <w:rFonts w:ascii="Times New Roman" w:hAnsi="Times New Roman" w:cs="Times New Roman"/>
          <w:color w:val="auto"/>
        </w:rPr>
        <w:t>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14:paraId="02322254" w14:textId="77777777" w:rsidR="00856AB8" w:rsidRPr="00856AB8" w:rsidRDefault="00856AB8" w:rsidP="00856AB8">
      <w:pPr>
        <w:framePr w:w="9696" w:h="14840" w:hRule="exact" w:wrap="none" w:vAnchor="page" w:hAnchor="page" w:x="1264" w:y="1131"/>
        <w:spacing w:line="322" w:lineRule="exact"/>
        <w:ind w:firstLine="600"/>
        <w:jc w:val="both"/>
        <w:rPr>
          <w:rFonts w:ascii="Times New Roman" w:hAnsi="Times New Roman" w:cs="Times New Roman"/>
          <w:color w:val="auto"/>
        </w:rPr>
      </w:pPr>
      <w:r w:rsidRPr="00856AB8">
        <w:rPr>
          <w:rStyle w:val="23"/>
          <w:rFonts w:eastAsia="Microsoft Sans Serif"/>
          <w:color w:val="auto"/>
          <w:sz w:val="24"/>
          <w:szCs w:val="24"/>
        </w:rPr>
        <w:t>Ставка податку за земельні ділянки, розташовані за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а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w:t>
      </w:r>
    </w:p>
    <w:p w14:paraId="585BA4BD" w14:textId="77777777" w:rsidR="00856AB8" w:rsidRPr="00856AB8" w:rsidRDefault="00856AB8" w:rsidP="00856AB8">
      <w:pPr>
        <w:pStyle w:val="30"/>
        <w:framePr w:w="9696" w:h="14840" w:hRule="exact" w:wrap="none" w:vAnchor="page" w:hAnchor="page" w:x="1264" w:y="1131"/>
        <w:shd w:val="clear" w:color="auto" w:fill="auto"/>
        <w:spacing w:before="0" w:after="0" w:line="322" w:lineRule="exact"/>
        <w:ind w:firstLine="600"/>
        <w:jc w:val="both"/>
        <w:rPr>
          <w:sz w:val="24"/>
          <w:szCs w:val="24"/>
        </w:rPr>
      </w:pPr>
      <w:r w:rsidRPr="00856AB8">
        <w:rPr>
          <w:sz w:val="24"/>
          <w:szCs w:val="24"/>
        </w:rPr>
        <w:t>Від сплати податку звільняються:</w:t>
      </w:r>
    </w:p>
    <w:p w14:paraId="4ECBD7A7" w14:textId="77777777" w:rsidR="00856AB8" w:rsidRPr="00856AB8" w:rsidRDefault="00856AB8" w:rsidP="00856AB8">
      <w:pPr>
        <w:framePr w:w="9696" w:h="14840" w:hRule="exact" w:wrap="none" w:vAnchor="page" w:hAnchor="page" w:x="1264" w:y="1131"/>
        <w:numPr>
          <w:ilvl w:val="0"/>
          <w:numId w:val="8"/>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інваліди першої і другої групи;</w:t>
      </w:r>
    </w:p>
    <w:p w14:paraId="7D1D0F36" w14:textId="77777777" w:rsidR="00856AB8" w:rsidRPr="00856AB8" w:rsidRDefault="00856AB8" w:rsidP="00856AB8">
      <w:pPr>
        <w:framePr w:w="9696" w:h="14840" w:hRule="exact" w:wrap="none" w:vAnchor="page" w:hAnchor="page" w:x="1264" w:y="1131"/>
        <w:numPr>
          <w:ilvl w:val="0"/>
          <w:numId w:val="8"/>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фізичні особи, які виховують трьох і більше дітей віком до 18 років;</w:t>
      </w:r>
    </w:p>
    <w:p w14:paraId="5EDD79E2" w14:textId="77777777" w:rsidR="00856AB8" w:rsidRPr="00856AB8" w:rsidRDefault="00856AB8" w:rsidP="00856AB8">
      <w:pPr>
        <w:framePr w:w="9696" w:h="14840" w:hRule="exact" w:wrap="none" w:vAnchor="page" w:hAnchor="page" w:x="1264" w:y="1131"/>
        <w:numPr>
          <w:ilvl w:val="0"/>
          <w:numId w:val="8"/>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пенсіонери (за віком);</w:t>
      </w:r>
    </w:p>
    <w:p w14:paraId="7199C943" w14:textId="77777777" w:rsidR="00856AB8" w:rsidRPr="00856AB8" w:rsidRDefault="00856AB8" w:rsidP="00856AB8">
      <w:pPr>
        <w:framePr w:w="9696" w:h="14840" w:hRule="exact" w:wrap="none" w:vAnchor="page" w:hAnchor="page" w:x="1264" w:y="1131"/>
        <w:numPr>
          <w:ilvl w:val="0"/>
          <w:numId w:val="8"/>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ветерани війни та особи, на яких поширюється дія Закону України "Про статус ветеранів війни, гарантії їх соціального захисту";</w:t>
      </w:r>
    </w:p>
    <w:p w14:paraId="33CAFA57" w14:textId="77777777" w:rsidR="00856AB8" w:rsidRPr="00856AB8" w:rsidRDefault="00856AB8" w:rsidP="00856AB8">
      <w:pPr>
        <w:framePr w:w="9696" w:h="14840" w:hRule="exact" w:wrap="none" w:vAnchor="page" w:hAnchor="page" w:x="1264" w:y="1131"/>
        <w:numPr>
          <w:ilvl w:val="0"/>
          <w:numId w:val="8"/>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фізичні особи, визнані законом особами, які постраждали внаслідок Чорнобильської катастрофи.</w:t>
      </w:r>
    </w:p>
    <w:p w14:paraId="0CF29DC5" w14:textId="77777777" w:rsidR="00856AB8" w:rsidRPr="00856AB8" w:rsidRDefault="00856AB8" w:rsidP="00856AB8">
      <w:pPr>
        <w:framePr w:w="9696" w:h="14840" w:hRule="exact" w:wrap="none" w:vAnchor="page" w:hAnchor="page" w:x="1264" w:y="113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Звільнення від сплати податку за земельні ділянки, передбачене для відповідної категорії фізичних осіб, у межах граничних норм:</w:t>
      </w:r>
    </w:p>
    <w:p w14:paraId="529B50F4" w14:textId="77777777" w:rsidR="00856AB8" w:rsidRPr="00856AB8" w:rsidRDefault="00856AB8" w:rsidP="00856AB8">
      <w:pPr>
        <w:framePr w:w="9696" w:h="14840" w:hRule="exact" w:wrap="none" w:vAnchor="page" w:hAnchor="page" w:x="1264" w:y="1131"/>
        <w:numPr>
          <w:ilvl w:val="0"/>
          <w:numId w:val="9"/>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для ведення особистого селянського господарства - у розмірі не більш як 2 гектари;</w:t>
      </w:r>
    </w:p>
    <w:p w14:paraId="2B7D77EF" w14:textId="77777777" w:rsidR="00856AB8" w:rsidRPr="00856AB8" w:rsidRDefault="00856AB8" w:rsidP="00856AB8">
      <w:pPr>
        <w:framePr w:w="9696" w:h="14840" w:hRule="exact" w:wrap="none" w:vAnchor="page" w:hAnchor="page" w:x="1264" w:y="1131"/>
        <w:numPr>
          <w:ilvl w:val="0"/>
          <w:numId w:val="9"/>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14:paraId="076ED6C2" w14:textId="77777777" w:rsidR="00856AB8" w:rsidRPr="00856AB8" w:rsidRDefault="00856AB8" w:rsidP="00856AB8">
      <w:pPr>
        <w:framePr w:w="9696" w:h="14840" w:hRule="exact" w:wrap="none" w:vAnchor="page" w:hAnchor="page" w:x="1264" w:y="1131"/>
        <w:numPr>
          <w:ilvl w:val="0"/>
          <w:numId w:val="9"/>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для індивідуального дачного будівництва - не більш як 0,10 гектара;</w:t>
      </w:r>
    </w:p>
    <w:p w14:paraId="4231762A" w14:textId="77777777" w:rsidR="00856AB8" w:rsidRPr="00856AB8" w:rsidRDefault="00856AB8" w:rsidP="00856AB8">
      <w:pPr>
        <w:framePr w:w="9696" w:h="14840" w:hRule="exact" w:wrap="none" w:vAnchor="page" w:hAnchor="page" w:x="1264" w:y="1131"/>
        <w:numPr>
          <w:ilvl w:val="0"/>
          <w:numId w:val="9"/>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для будівництва індивідуальних гаражів - не більш як 0,01 гектара;</w:t>
      </w:r>
    </w:p>
    <w:p w14:paraId="7E8F111B" w14:textId="77777777" w:rsidR="00856AB8" w:rsidRPr="00856AB8" w:rsidRDefault="00856AB8" w:rsidP="00856AB8">
      <w:pPr>
        <w:framePr w:w="9696" w:h="14840" w:hRule="exact" w:wrap="none" w:vAnchor="page" w:hAnchor="page" w:x="1264" w:y="1131"/>
        <w:numPr>
          <w:ilvl w:val="0"/>
          <w:numId w:val="9"/>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для ведення садівництва - не більш як 0,12 гектара.</w:t>
      </w:r>
    </w:p>
    <w:p w14:paraId="51902F92" w14:textId="77777777" w:rsidR="00856AB8" w:rsidRPr="00856AB8" w:rsidRDefault="00856AB8" w:rsidP="00856AB8">
      <w:pPr>
        <w:framePr w:w="9696" w:h="14840" w:hRule="exact" w:wrap="none" w:vAnchor="page" w:hAnchor="page" w:x="1264" w:y="113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14:paraId="237DCA22" w14:textId="77777777" w:rsidR="00856AB8" w:rsidRPr="00856AB8" w:rsidRDefault="00856AB8" w:rsidP="00856AB8">
      <w:pPr>
        <w:pStyle w:val="30"/>
        <w:framePr w:w="9696" w:h="14840" w:hRule="exact" w:wrap="none" w:vAnchor="page" w:hAnchor="page" w:x="1264" w:y="1131"/>
        <w:shd w:val="clear" w:color="auto" w:fill="auto"/>
        <w:spacing w:before="0" w:after="0" w:line="322" w:lineRule="exact"/>
        <w:ind w:firstLine="600"/>
        <w:jc w:val="both"/>
        <w:rPr>
          <w:sz w:val="24"/>
          <w:szCs w:val="24"/>
        </w:rPr>
      </w:pPr>
      <w:r w:rsidRPr="00856AB8">
        <w:rPr>
          <w:sz w:val="24"/>
          <w:szCs w:val="24"/>
        </w:rPr>
        <w:t>Пільги щодо сплати податку для юридичних осіб.</w:t>
      </w:r>
    </w:p>
    <w:p w14:paraId="2BC048E1" w14:textId="77777777" w:rsidR="00856AB8" w:rsidRPr="00856AB8" w:rsidRDefault="00856AB8" w:rsidP="00856AB8">
      <w:pPr>
        <w:framePr w:w="9696" w:h="14840" w:hRule="exact" w:wrap="none" w:vAnchor="page" w:hAnchor="page" w:x="1264" w:y="1131"/>
        <w:spacing w:line="322" w:lineRule="exact"/>
        <w:ind w:firstLine="600"/>
        <w:jc w:val="both"/>
        <w:rPr>
          <w:rFonts w:ascii="Times New Roman" w:hAnsi="Times New Roman" w:cs="Times New Roman"/>
          <w:color w:val="auto"/>
        </w:rPr>
      </w:pPr>
      <w:r w:rsidRPr="00856AB8">
        <w:rPr>
          <w:rFonts w:ascii="Times New Roman" w:hAnsi="Times New Roman" w:cs="Times New Roman"/>
          <w:color w:val="auto"/>
        </w:rPr>
        <w:t>Від сплати податку звільняються:</w:t>
      </w:r>
    </w:p>
    <w:p w14:paraId="0AB8A101" w14:textId="77777777" w:rsidR="00856AB8" w:rsidRPr="00856AB8" w:rsidRDefault="00856AB8" w:rsidP="00856AB8">
      <w:pPr>
        <w:framePr w:w="9696" w:h="14840" w:hRule="exact" w:wrap="none" w:vAnchor="page" w:hAnchor="page" w:x="1264" w:y="1131"/>
        <w:numPr>
          <w:ilvl w:val="0"/>
          <w:numId w:val="10"/>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санаторно-курортні та оздоровчі заклади громадських організацій інвалідів, реабілітаційні установи громадських організацій інвалідів;</w:t>
      </w:r>
    </w:p>
    <w:p w14:paraId="68055EDB" w14:textId="77777777" w:rsidR="00856AB8" w:rsidRPr="00856AB8" w:rsidRDefault="00856AB8" w:rsidP="00856AB8">
      <w:pPr>
        <w:framePr w:w="9696" w:h="14840" w:hRule="exact" w:wrap="none" w:vAnchor="page" w:hAnchor="page" w:x="1264" w:y="1131"/>
        <w:numPr>
          <w:ilvl w:val="0"/>
          <w:numId w:val="10"/>
        </w:numPr>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w:t>
      </w:r>
    </w:p>
    <w:p w14:paraId="3114D9F1" w14:textId="77777777" w:rsidR="00856AB8" w:rsidRPr="00856AB8" w:rsidRDefault="00856AB8" w:rsidP="00856AB8">
      <w:pPr>
        <w:rPr>
          <w:rFonts w:ascii="Times New Roman" w:hAnsi="Times New Roman" w:cs="Times New Roman"/>
          <w:color w:val="auto"/>
        </w:rPr>
        <w:sectPr w:rsidR="00856AB8" w:rsidRPr="00856AB8">
          <w:pgSz w:w="11900" w:h="16840"/>
          <w:pgMar w:top="360" w:right="360" w:bottom="360" w:left="360" w:header="0" w:footer="3" w:gutter="0"/>
          <w:cols w:space="720"/>
          <w:noEndnote/>
          <w:docGrid w:linePitch="360"/>
        </w:sectPr>
      </w:pPr>
    </w:p>
    <w:p w14:paraId="123A6B80" w14:textId="77777777" w:rsidR="00856AB8" w:rsidRPr="00856AB8" w:rsidRDefault="00856AB8" w:rsidP="00856AB8">
      <w:pPr>
        <w:framePr w:w="9701" w:h="14514" w:hRule="exact" w:wrap="none" w:vAnchor="page" w:hAnchor="page" w:x="1198" w:y="953"/>
        <w:tabs>
          <w:tab w:val="left" w:pos="565"/>
        </w:tabs>
        <w:spacing w:line="322" w:lineRule="exact"/>
        <w:jc w:val="both"/>
        <w:rPr>
          <w:rFonts w:ascii="Times New Roman" w:hAnsi="Times New Roman" w:cs="Times New Roman"/>
          <w:color w:val="auto"/>
        </w:rPr>
      </w:pPr>
      <w:r w:rsidRPr="00856AB8">
        <w:rPr>
          <w:rFonts w:ascii="Times New Roman" w:hAnsi="Times New Roman" w:cs="Times New Roman"/>
          <w:color w:val="auto"/>
        </w:rPr>
        <w:lastRenderedPageBreak/>
        <w:t>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14:paraId="663AB9B5" w14:textId="77777777" w:rsidR="00856AB8" w:rsidRPr="00856AB8" w:rsidRDefault="00856AB8" w:rsidP="00856AB8">
      <w:pPr>
        <w:framePr w:w="9701" w:h="14514" w:hRule="exact" w:wrap="none" w:vAnchor="page" w:hAnchor="page" w:x="1198" w:y="953"/>
        <w:numPr>
          <w:ilvl w:val="0"/>
          <w:numId w:val="10"/>
        </w:numPr>
        <w:tabs>
          <w:tab w:val="left" w:pos="568"/>
        </w:tabs>
        <w:spacing w:line="322" w:lineRule="exact"/>
        <w:jc w:val="both"/>
        <w:rPr>
          <w:rFonts w:ascii="Times New Roman" w:hAnsi="Times New Roman" w:cs="Times New Roman"/>
          <w:color w:val="auto"/>
        </w:rPr>
      </w:pPr>
      <w:r w:rsidRPr="00856AB8">
        <w:rPr>
          <w:rFonts w:ascii="Times New Roman" w:hAnsi="Times New Roman" w:cs="Times New Roman"/>
          <w:color w:val="auto"/>
        </w:rPr>
        <w:t xml:space="preserve">для бази олімпійської та </w:t>
      </w:r>
      <w:proofErr w:type="spellStart"/>
      <w:r w:rsidRPr="00856AB8">
        <w:rPr>
          <w:rFonts w:ascii="Times New Roman" w:hAnsi="Times New Roman" w:cs="Times New Roman"/>
          <w:color w:val="auto"/>
        </w:rPr>
        <w:t>паралімпійської</w:t>
      </w:r>
      <w:proofErr w:type="spellEnd"/>
      <w:r w:rsidRPr="00856AB8">
        <w:rPr>
          <w:rFonts w:ascii="Times New Roman" w:hAnsi="Times New Roman" w:cs="Times New Roman"/>
          <w:color w:val="auto"/>
        </w:rPr>
        <w:t xml:space="preserve"> підготовки.</w:t>
      </w:r>
    </w:p>
    <w:p w14:paraId="75F33509" w14:textId="77777777" w:rsidR="00856AB8" w:rsidRPr="00856AB8" w:rsidRDefault="00856AB8" w:rsidP="00856AB8">
      <w:pPr>
        <w:framePr w:w="9701" w:h="14514" w:hRule="exact" w:wrap="none" w:vAnchor="page" w:hAnchor="page" w:x="1198" w:y="953"/>
        <w:numPr>
          <w:ilvl w:val="0"/>
          <w:numId w:val="10"/>
        </w:numPr>
        <w:tabs>
          <w:tab w:val="left" w:pos="568"/>
        </w:tabs>
        <w:spacing w:line="322" w:lineRule="exact"/>
        <w:jc w:val="both"/>
        <w:rPr>
          <w:rFonts w:ascii="Times New Roman" w:hAnsi="Times New Roman" w:cs="Times New Roman"/>
          <w:color w:val="auto"/>
        </w:rPr>
      </w:pPr>
      <w:r w:rsidRPr="00856AB8">
        <w:rPr>
          <w:rFonts w:ascii="Times New Roman" w:hAnsi="Times New Roman" w:cs="Times New Roman"/>
          <w:color w:val="auto"/>
        </w:rPr>
        <w:t>дошкільні та загальноосвітні навчальні заклади незалежно від форми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14:paraId="0E4683C6" w14:textId="77777777" w:rsidR="00856AB8" w:rsidRPr="00856AB8" w:rsidRDefault="00856AB8" w:rsidP="00856AB8">
      <w:pPr>
        <w:pStyle w:val="30"/>
        <w:framePr w:w="9701" w:h="14514" w:hRule="exact" w:wrap="none" w:vAnchor="page" w:hAnchor="page" w:x="1198" w:y="953"/>
        <w:shd w:val="clear" w:color="auto" w:fill="auto"/>
        <w:spacing w:before="0" w:after="0" w:line="322" w:lineRule="exact"/>
        <w:ind w:left="600"/>
        <w:jc w:val="left"/>
        <w:rPr>
          <w:sz w:val="24"/>
          <w:szCs w:val="24"/>
        </w:rPr>
      </w:pPr>
      <w:r w:rsidRPr="00856AB8">
        <w:rPr>
          <w:sz w:val="24"/>
          <w:szCs w:val="24"/>
        </w:rPr>
        <w:t>Не сплачується податок за:</w:t>
      </w:r>
    </w:p>
    <w:p w14:paraId="4239ECD1" w14:textId="77777777" w:rsidR="00856AB8" w:rsidRPr="00856AB8" w:rsidRDefault="00856AB8" w:rsidP="00856AB8">
      <w:pPr>
        <w:framePr w:w="9701" w:h="14514" w:hRule="exact" w:wrap="none" w:vAnchor="page" w:hAnchor="page" w:x="1198" w:y="953"/>
        <w:numPr>
          <w:ilvl w:val="0"/>
          <w:numId w:val="11"/>
        </w:numPr>
        <w:tabs>
          <w:tab w:val="left" w:pos="568"/>
        </w:tabs>
        <w:spacing w:line="322" w:lineRule="exact"/>
        <w:jc w:val="both"/>
        <w:rPr>
          <w:rFonts w:ascii="Times New Roman" w:hAnsi="Times New Roman" w:cs="Times New Roman"/>
          <w:color w:val="auto"/>
        </w:rPr>
      </w:pPr>
      <w:r w:rsidRPr="00856AB8">
        <w:rPr>
          <w:rFonts w:ascii="Times New Roman" w:hAnsi="Times New Roman" w:cs="Times New Roman"/>
          <w:color w:val="auto"/>
        </w:rPr>
        <w:t>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14:paraId="433ED602" w14:textId="77777777" w:rsidR="00856AB8" w:rsidRPr="00856AB8" w:rsidRDefault="00856AB8" w:rsidP="00856AB8">
      <w:pPr>
        <w:framePr w:w="9701" w:h="14514" w:hRule="exact" w:wrap="none" w:vAnchor="page" w:hAnchor="page" w:x="1198" w:y="953"/>
        <w:numPr>
          <w:ilvl w:val="0"/>
          <w:numId w:val="11"/>
        </w:numPr>
        <w:tabs>
          <w:tab w:val="left" w:pos="568"/>
        </w:tabs>
        <w:spacing w:line="322" w:lineRule="exact"/>
        <w:jc w:val="both"/>
        <w:rPr>
          <w:rFonts w:ascii="Times New Roman" w:hAnsi="Times New Roman" w:cs="Times New Roman"/>
          <w:color w:val="auto"/>
        </w:rPr>
      </w:pPr>
      <w:r w:rsidRPr="00856AB8">
        <w:rPr>
          <w:rFonts w:ascii="Times New Roman" w:hAnsi="Times New Roman" w:cs="Times New Roman"/>
          <w:color w:val="auto"/>
        </w:rPr>
        <w:t>землі сільськогосподарських угідь, що перебувають у тимчасовій консервації або у стадії сільськогосподарського освоєння;</w:t>
      </w:r>
    </w:p>
    <w:p w14:paraId="5CA4DA86" w14:textId="77777777" w:rsidR="00856AB8" w:rsidRPr="00856AB8" w:rsidRDefault="00856AB8" w:rsidP="00856AB8">
      <w:pPr>
        <w:framePr w:w="9701" w:h="14514" w:hRule="exact" w:wrap="none" w:vAnchor="page" w:hAnchor="page" w:x="1198" w:y="953"/>
        <w:numPr>
          <w:ilvl w:val="0"/>
          <w:numId w:val="11"/>
        </w:numPr>
        <w:tabs>
          <w:tab w:val="left" w:pos="568"/>
        </w:tabs>
        <w:spacing w:line="322" w:lineRule="exact"/>
        <w:jc w:val="both"/>
        <w:rPr>
          <w:rFonts w:ascii="Times New Roman" w:hAnsi="Times New Roman" w:cs="Times New Roman"/>
          <w:color w:val="auto"/>
        </w:rPr>
      </w:pPr>
      <w:r w:rsidRPr="00856AB8">
        <w:rPr>
          <w:rFonts w:ascii="Times New Roman" w:hAnsi="Times New Roman" w:cs="Times New Roman"/>
          <w:color w:val="auto"/>
        </w:rPr>
        <w:t>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14:paraId="3B6031AE" w14:textId="77777777" w:rsidR="00856AB8" w:rsidRPr="00856AB8" w:rsidRDefault="00856AB8" w:rsidP="00856AB8">
      <w:pPr>
        <w:framePr w:w="9701" w:h="14514" w:hRule="exact" w:wrap="none" w:vAnchor="page" w:hAnchor="page" w:x="1198" w:y="953"/>
        <w:numPr>
          <w:ilvl w:val="0"/>
          <w:numId w:val="11"/>
        </w:numPr>
        <w:tabs>
          <w:tab w:val="left" w:pos="568"/>
        </w:tabs>
        <w:spacing w:line="322" w:lineRule="exact"/>
        <w:jc w:val="both"/>
        <w:rPr>
          <w:rFonts w:ascii="Times New Roman" w:hAnsi="Times New Roman" w:cs="Times New Roman"/>
          <w:color w:val="auto"/>
        </w:rPr>
      </w:pPr>
      <w:r w:rsidRPr="00856AB8">
        <w:rPr>
          <w:rFonts w:ascii="Times New Roman" w:hAnsi="Times New Roman" w:cs="Times New Roman"/>
          <w:color w:val="auto"/>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w:t>
      </w:r>
    </w:p>
    <w:p w14:paraId="745EA25F" w14:textId="77777777" w:rsidR="00856AB8" w:rsidRPr="00856AB8" w:rsidRDefault="00856AB8" w:rsidP="00856AB8">
      <w:pPr>
        <w:framePr w:w="9701" w:h="14514" w:hRule="exact" w:wrap="none" w:vAnchor="page" w:hAnchor="page" w:x="1198" w:y="953"/>
        <w:numPr>
          <w:ilvl w:val="0"/>
          <w:numId w:val="11"/>
        </w:numPr>
        <w:tabs>
          <w:tab w:val="left" w:pos="568"/>
        </w:tabs>
        <w:spacing w:line="322" w:lineRule="exact"/>
        <w:jc w:val="both"/>
        <w:rPr>
          <w:rFonts w:ascii="Times New Roman" w:hAnsi="Times New Roman" w:cs="Times New Roman"/>
          <w:color w:val="auto"/>
        </w:rPr>
      </w:pPr>
      <w:r w:rsidRPr="00856AB8">
        <w:rPr>
          <w:rFonts w:ascii="Times New Roman" w:hAnsi="Times New Roman" w:cs="Times New Roman"/>
          <w:color w:val="auto"/>
        </w:rPr>
        <w:t xml:space="preserve">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856AB8">
        <w:rPr>
          <w:rFonts w:ascii="Times New Roman" w:hAnsi="Times New Roman" w:cs="Times New Roman"/>
          <w:color w:val="auto"/>
        </w:rPr>
        <w:t>генофондовими</w:t>
      </w:r>
      <w:proofErr w:type="spellEnd"/>
      <w:r w:rsidRPr="00856AB8">
        <w:rPr>
          <w:rFonts w:ascii="Times New Roman" w:hAnsi="Times New Roman" w:cs="Times New Roman"/>
          <w:color w:val="auto"/>
        </w:rPr>
        <w:t xml:space="preserve"> колекціями та розсадниками багаторічних плодових насаджень;</w:t>
      </w:r>
    </w:p>
    <w:p w14:paraId="6D87FF42" w14:textId="77777777" w:rsidR="00856AB8" w:rsidRPr="00856AB8" w:rsidRDefault="00856AB8" w:rsidP="00856AB8">
      <w:pPr>
        <w:framePr w:w="9701" w:h="14514" w:hRule="exact" w:wrap="none" w:vAnchor="page" w:hAnchor="page" w:x="1198" w:y="953"/>
        <w:numPr>
          <w:ilvl w:val="0"/>
          <w:numId w:val="11"/>
        </w:numPr>
        <w:tabs>
          <w:tab w:val="left" w:pos="568"/>
        </w:tabs>
        <w:spacing w:line="322" w:lineRule="exact"/>
        <w:jc w:val="both"/>
        <w:rPr>
          <w:rFonts w:ascii="Times New Roman" w:hAnsi="Times New Roman" w:cs="Times New Roman"/>
          <w:color w:val="auto"/>
        </w:rPr>
      </w:pPr>
      <w:r w:rsidRPr="00856AB8">
        <w:rPr>
          <w:rFonts w:ascii="Times New Roman" w:hAnsi="Times New Roman" w:cs="Times New Roman"/>
          <w:color w:val="auto"/>
        </w:rPr>
        <w:t>земельні ділянки кладовищ, крематоріїв та колумбаріїв.</w:t>
      </w:r>
    </w:p>
    <w:p w14:paraId="155884C9" w14:textId="77777777" w:rsidR="00856AB8" w:rsidRPr="00856AB8" w:rsidRDefault="00856AB8" w:rsidP="00856AB8">
      <w:pPr>
        <w:framePr w:w="9701" w:h="14514" w:hRule="exact" w:wrap="none" w:vAnchor="page" w:hAnchor="page" w:x="1198" w:y="953"/>
        <w:numPr>
          <w:ilvl w:val="0"/>
          <w:numId w:val="11"/>
        </w:numPr>
        <w:tabs>
          <w:tab w:val="left" w:pos="568"/>
        </w:tabs>
        <w:spacing w:line="322" w:lineRule="exact"/>
        <w:jc w:val="both"/>
        <w:rPr>
          <w:rFonts w:ascii="Times New Roman" w:hAnsi="Times New Roman" w:cs="Times New Roman"/>
          <w:color w:val="auto"/>
        </w:rPr>
      </w:pPr>
      <w:r w:rsidRPr="00856AB8">
        <w:rPr>
          <w:rFonts w:ascii="Times New Roman" w:hAnsi="Times New Roman" w:cs="Times New Roman"/>
          <w:color w:val="auto"/>
        </w:rPr>
        <w:t>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14:paraId="7FEAC598" w14:textId="77777777" w:rsidR="00856AB8" w:rsidRPr="00856AB8" w:rsidRDefault="00856AB8" w:rsidP="00856AB8">
      <w:pPr>
        <w:framePr w:w="9701" w:h="14514" w:hRule="exact" w:wrap="none" w:vAnchor="page" w:hAnchor="page" w:x="1198" w:y="953"/>
        <w:numPr>
          <w:ilvl w:val="0"/>
          <w:numId w:val="11"/>
        </w:numPr>
        <w:tabs>
          <w:tab w:val="left" w:pos="568"/>
        </w:tabs>
        <w:spacing w:line="322" w:lineRule="exact"/>
        <w:jc w:val="both"/>
        <w:rPr>
          <w:rFonts w:ascii="Times New Roman" w:hAnsi="Times New Roman" w:cs="Times New Roman"/>
          <w:color w:val="auto"/>
        </w:rPr>
      </w:pPr>
      <w:r w:rsidRPr="00856AB8">
        <w:rPr>
          <w:rFonts w:ascii="Times New Roman" w:hAnsi="Times New Roman" w:cs="Times New Roman"/>
          <w:color w:val="auto"/>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14:paraId="6CAB495C" w14:textId="77777777" w:rsidR="00856AB8" w:rsidRPr="00856AB8" w:rsidRDefault="00856AB8" w:rsidP="00856AB8">
      <w:pPr>
        <w:rPr>
          <w:rFonts w:ascii="Times New Roman" w:hAnsi="Times New Roman" w:cs="Times New Roman"/>
          <w:color w:val="auto"/>
        </w:rPr>
        <w:sectPr w:rsidR="00856AB8" w:rsidRPr="00856AB8">
          <w:pgSz w:w="11900" w:h="16840"/>
          <w:pgMar w:top="360" w:right="360" w:bottom="360" w:left="360" w:header="0" w:footer="3" w:gutter="0"/>
          <w:cols w:space="720"/>
          <w:noEndnote/>
          <w:docGrid w:linePitch="360"/>
        </w:sectPr>
      </w:pPr>
    </w:p>
    <w:p w14:paraId="27F55177" w14:textId="77777777" w:rsidR="00856AB8" w:rsidRPr="00856AB8" w:rsidRDefault="00856AB8" w:rsidP="00856AB8">
      <w:pPr>
        <w:framePr w:w="9701" w:h="316" w:hRule="exact" w:wrap="none" w:vAnchor="page" w:hAnchor="page" w:x="1264" w:y="886"/>
        <w:spacing w:line="317" w:lineRule="exact"/>
        <w:ind w:firstLine="600"/>
        <w:jc w:val="both"/>
        <w:rPr>
          <w:rFonts w:ascii="Times New Roman" w:hAnsi="Times New Roman" w:cs="Times New Roman"/>
          <w:color w:val="auto"/>
        </w:rPr>
      </w:pPr>
      <w:r w:rsidRPr="00856AB8">
        <w:rPr>
          <w:rFonts w:ascii="Times New Roman" w:hAnsi="Times New Roman" w:cs="Times New Roman"/>
          <w:color w:val="auto"/>
        </w:rPr>
        <w:lastRenderedPageBreak/>
        <w:t>Базовим податковим (звітним) періодом для плати за землю є календарний рік</w:t>
      </w:r>
    </w:p>
    <w:p w14:paraId="0943109D" w14:textId="77777777" w:rsidR="00856AB8" w:rsidRPr="00856AB8" w:rsidRDefault="00856AB8" w:rsidP="00856AB8">
      <w:pPr>
        <w:framePr w:w="9701" w:h="12855" w:hRule="exact" w:wrap="none" w:vAnchor="page" w:hAnchor="page" w:x="1441" w:y="1574"/>
        <w:spacing w:line="317" w:lineRule="exact"/>
        <w:ind w:firstLine="600"/>
        <w:jc w:val="both"/>
        <w:rPr>
          <w:rFonts w:ascii="Times New Roman" w:hAnsi="Times New Roman" w:cs="Times New Roman"/>
          <w:color w:val="auto"/>
        </w:rPr>
      </w:pPr>
      <w:r w:rsidRPr="00856AB8">
        <w:rPr>
          <w:rFonts w:ascii="Times New Roman" w:hAnsi="Times New Roman" w:cs="Times New Roman"/>
          <w:color w:val="auto"/>
        </w:rPr>
        <w:t>Підставою для нарахування земельного податку є дані державного земельного кадастру.</w:t>
      </w:r>
    </w:p>
    <w:p w14:paraId="6CE0FB00" w14:textId="77777777" w:rsidR="00856AB8" w:rsidRPr="00856AB8" w:rsidRDefault="00856AB8" w:rsidP="00856AB8">
      <w:pPr>
        <w:framePr w:w="9701" w:h="12855" w:hRule="exact" w:wrap="none" w:vAnchor="page" w:hAnchor="page" w:x="1441" w:y="1574"/>
        <w:spacing w:line="317" w:lineRule="exact"/>
        <w:ind w:firstLine="600"/>
        <w:jc w:val="both"/>
        <w:rPr>
          <w:rFonts w:ascii="Times New Roman" w:hAnsi="Times New Roman" w:cs="Times New Roman"/>
          <w:color w:val="auto"/>
        </w:rPr>
      </w:pPr>
      <w:r w:rsidRPr="00856AB8">
        <w:rPr>
          <w:rFonts w:ascii="Times New Roman" w:hAnsi="Times New Roman" w:cs="Times New Roman"/>
          <w:color w:val="auto"/>
        </w:rPr>
        <w:t>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 податкову декларацію на поточний рік за формою, встановленою у порядку, передбаченому статтею 46 цього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14:paraId="0E0A1009" w14:textId="77777777" w:rsidR="00856AB8" w:rsidRPr="00856AB8" w:rsidRDefault="00856AB8" w:rsidP="00856AB8">
      <w:pPr>
        <w:framePr w:w="9701" w:h="12855" w:hRule="exact" w:wrap="none" w:vAnchor="page" w:hAnchor="page" w:x="1441" w:y="1574"/>
        <w:spacing w:line="317" w:lineRule="exact"/>
        <w:ind w:firstLine="600"/>
        <w:jc w:val="both"/>
        <w:rPr>
          <w:rFonts w:ascii="Times New Roman" w:hAnsi="Times New Roman" w:cs="Times New Roman"/>
          <w:color w:val="auto"/>
        </w:rPr>
      </w:pPr>
      <w:r w:rsidRPr="00856AB8">
        <w:rPr>
          <w:rFonts w:ascii="Times New Roman" w:hAnsi="Times New Roman" w:cs="Times New Roman"/>
          <w:color w:val="auto"/>
        </w:rPr>
        <w:t xml:space="preserve">Нарахування фізичним особам сум податку проводиться контролюючими органами, які видають платникові до 1 липня поточного року податкове повідомлення-рішення про внесення податку. </w:t>
      </w:r>
      <w:r w:rsidRPr="00856AB8">
        <w:rPr>
          <w:rStyle w:val="23"/>
          <w:rFonts w:eastAsia="Microsoft Sans Serif"/>
          <w:color w:val="auto"/>
          <w:sz w:val="24"/>
          <w:szCs w:val="24"/>
        </w:rPr>
        <w:t>Податок фізичними особами сплачується протягом 60 днів з дня вручення податкового повідомлення- рішення.</w:t>
      </w:r>
    </w:p>
    <w:p w14:paraId="3315E570" w14:textId="77777777" w:rsidR="00856AB8" w:rsidRPr="00856AB8" w:rsidRDefault="00856AB8" w:rsidP="00856AB8">
      <w:pPr>
        <w:framePr w:w="9701" w:h="12855" w:hRule="exact" w:wrap="none" w:vAnchor="page" w:hAnchor="page" w:x="1441" w:y="1574"/>
        <w:spacing w:line="317" w:lineRule="exact"/>
        <w:ind w:firstLine="600"/>
        <w:jc w:val="both"/>
        <w:rPr>
          <w:rFonts w:ascii="Times New Roman" w:hAnsi="Times New Roman" w:cs="Times New Roman"/>
          <w:color w:val="auto"/>
        </w:rPr>
      </w:pPr>
      <w:r w:rsidRPr="00856AB8">
        <w:rPr>
          <w:rFonts w:ascii="Times New Roman" w:hAnsi="Times New Roman" w:cs="Times New Roman"/>
          <w:color w:val="auto"/>
        </w:rPr>
        <w:t xml:space="preserve">З </w:t>
      </w:r>
      <w:r w:rsidRPr="00856AB8">
        <w:rPr>
          <w:rStyle w:val="23"/>
          <w:rFonts w:eastAsia="Microsoft Sans Serif"/>
          <w:color w:val="auto"/>
          <w:sz w:val="24"/>
          <w:szCs w:val="24"/>
        </w:rPr>
        <w:t>1 лютого 2018 року центральний орган виконавчої влади, що реалізує державну політику у сфері земельних відносин, направляє електронній формі інформацію про нормативну грошову оцінку земельних ділянок, яка проведена станом на зазначену дату, до центрального органу виконавчої влади, що реалізує державну податкову політику. Центральний орган виконавчої влади, що реалізує державну податкову політику, оприлюднює її на своєму офіційному веб-сайті.</w:t>
      </w:r>
    </w:p>
    <w:p w14:paraId="6A0FCE0E" w14:textId="77777777" w:rsidR="00856AB8" w:rsidRPr="00856AB8" w:rsidRDefault="00856AB8" w:rsidP="00856AB8">
      <w:pPr>
        <w:pStyle w:val="30"/>
        <w:framePr w:w="9701" w:h="12855" w:hRule="exact" w:wrap="none" w:vAnchor="page" w:hAnchor="page" w:x="1441" w:y="1574"/>
        <w:shd w:val="clear" w:color="auto" w:fill="auto"/>
        <w:spacing w:before="0" w:after="0" w:line="643" w:lineRule="exact"/>
        <w:ind w:left="2760"/>
        <w:jc w:val="left"/>
        <w:rPr>
          <w:sz w:val="24"/>
          <w:szCs w:val="24"/>
        </w:rPr>
      </w:pPr>
      <w:r w:rsidRPr="00856AB8">
        <w:rPr>
          <w:sz w:val="24"/>
          <w:szCs w:val="24"/>
        </w:rPr>
        <w:t>Завдання для самостійного вивчення</w:t>
      </w:r>
    </w:p>
    <w:p w14:paraId="7B60DD27" w14:textId="77777777" w:rsidR="00856AB8" w:rsidRPr="00856AB8" w:rsidRDefault="00856AB8" w:rsidP="00856AB8">
      <w:pPr>
        <w:framePr w:w="9701" w:h="12855" w:hRule="exact" w:wrap="none" w:vAnchor="page" w:hAnchor="page" w:x="1441" w:y="1574"/>
        <w:numPr>
          <w:ilvl w:val="0"/>
          <w:numId w:val="12"/>
        </w:numPr>
        <w:tabs>
          <w:tab w:val="left" w:pos="538"/>
        </w:tabs>
        <w:spacing w:line="643" w:lineRule="exact"/>
        <w:jc w:val="both"/>
        <w:rPr>
          <w:rFonts w:ascii="Times New Roman" w:hAnsi="Times New Roman" w:cs="Times New Roman"/>
          <w:color w:val="auto"/>
        </w:rPr>
      </w:pPr>
      <w:r w:rsidRPr="00856AB8">
        <w:rPr>
          <w:rFonts w:ascii="Times New Roman" w:hAnsi="Times New Roman" w:cs="Times New Roman"/>
          <w:color w:val="auto"/>
        </w:rPr>
        <w:t>Розрахунок суми податку на майно.</w:t>
      </w:r>
    </w:p>
    <w:p w14:paraId="4E111ADA" w14:textId="77777777" w:rsidR="00856AB8" w:rsidRPr="00856AB8" w:rsidRDefault="00856AB8" w:rsidP="00856AB8">
      <w:pPr>
        <w:pStyle w:val="30"/>
        <w:framePr w:w="9701" w:h="12855" w:hRule="exact" w:wrap="none" w:vAnchor="page" w:hAnchor="page" w:x="1441" w:y="1574"/>
        <w:shd w:val="clear" w:color="auto" w:fill="auto"/>
        <w:spacing w:before="0" w:after="0" w:line="643" w:lineRule="exact"/>
        <w:ind w:left="3520"/>
        <w:jc w:val="left"/>
        <w:rPr>
          <w:sz w:val="24"/>
          <w:szCs w:val="24"/>
        </w:rPr>
      </w:pPr>
      <w:r w:rsidRPr="00856AB8">
        <w:rPr>
          <w:sz w:val="24"/>
          <w:szCs w:val="24"/>
        </w:rPr>
        <w:t>Рекомендована література</w:t>
      </w:r>
    </w:p>
    <w:p w14:paraId="013FF670" w14:textId="77777777" w:rsidR="00856AB8" w:rsidRPr="00856AB8" w:rsidRDefault="00856AB8" w:rsidP="00856AB8">
      <w:pPr>
        <w:framePr w:w="9701" w:h="12855" w:hRule="exact" w:wrap="none" w:vAnchor="page" w:hAnchor="page" w:x="1441" w:y="1574"/>
        <w:numPr>
          <w:ilvl w:val="0"/>
          <w:numId w:val="13"/>
        </w:numPr>
        <w:tabs>
          <w:tab w:val="left" w:pos="922"/>
        </w:tabs>
        <w:spacing w:line="322" w:lineRule="exact"/>
        <w:ind w:firstLine="600"/>
        <w:jc w:val="both"/>
        <w:rPr>
          <w:rFonts w:ascii="Times New Roman" w:hAnsi="Times New Roman" w:cs="Times New Roman"/>
          <w:color w:val="auto"/>
        </w:rPr>
      </w:pPr>
      <w:r w:rsidRPr="00856AB8">
        <w:rPr>
          <w:rFonts w:ascii="Times New Roman" w:hAnsi="Times New Roman" w:cs="Times New Roman"/>
        </w:rPr>
        <w:t xml:space="preserve">Податковий кодекс України : Відомості Верховної Ради України від 07.04.2011 № 2755-VI. URL : https://zakon.rada.gov.ua/laws/show/2755-17#Text : станом на 07.05.2022 р. (дата звернення: 20.05.2023). </w:t>
      </w:r>
    </w:p>
    <w:p w14:paraId="0DDDE6FB" w14:textId="77777777" w:rsidR="00856AB8" w:rsidRPr="00856AB8" w:rsidRDefault="00856AB8" w:rsidP="00856AB8">
      <w:pPr>
        <w:framePr w:w="9701" w:h="12855" w:hRule="exact" w:wrap="none" w:vAnchor="page" w:hAnchor="page" w:x="1441" w:y="1574"/>
        <w:numPr>
          <w:ilvl w:val="0"/>
          <w:numId w:val="13"/>
        </w:numPr>
        <w:tabs>
          <w:tab w:val="left" w:pos="922"/>
        </w:tabs>
        <w:spacing w:line="322" w:lineRule="exact"/>
        <w:ind w:firstLine="600"/>
        <w:jc w:val="both"/>
        <w:rPr>
          <w:rFonts w:ascii="Times New Roman" w:hAnsi="Times New Roman" w:cs="Times New Roman"/>
          <w:color w:val="auto"/>
        </w:rPr>
      </w:pPr>
      <w:r w:rsidRPr="00856AB8">
        <w:rPr>
          <w:rFonts w:ascii="Times New Roman" w:hAnsi="Times New Roman" w:cs="Times New Roman"/>
        </w:rPr>
        <w:t xml:space="preserve">Про Державний бюджет України на 2022 рік : Закон України від 07.03.2022 № 1928-IX. URL : https://zakon.rada.gov.ua/laws/show/1928-20#Text (дата звернення: 24.04.2023). </w:t>
      </w:r>
    </w:p>
    <w:p w14:paraId="14F2D8D2" w14:textId="77777777" w:rsidR="00856AB8" w:rsidRPr="00856AB8" w:rsidRDefault="00856AB8" w:rsidP="00856AB8">
      <w:pPr>
        <w:framePr w:w="9701" w:h="12855" w:hRule="exact" w:wrap="none" w:vAnchor="page" w:hAnchor="page" w:x="1441" w:y="1574"/>
        <w:numPr>
          <w:ilvl w:val="0"/>
          <w:numId w:val="13"/>
        </w:numPr>
        <w:tabs>
          <w:tab w:val="left" w:pos="922"/>
        </w:tabs>
        <w:spacing w:line="322" w:lineRule="exact"/>
        <w:ind w:firstLine="600"/>
        <w:jc w:val="both"/>
        <w:rPr>
          <w:rFonts w:ascii="Times New Roman" w:hAnsi="Times New Roman" w:cs="Times New Roman"/>
          <w:color w:val="auto"/>
        </w:rPr>
      </w:pPr>
      <w:r w:rsidRPr="00856AB8">
        <w:rPr>
          <w:rFonts w:ascii="Times New Roman" w:hAnsi="Times New Roman" w:cs="Times New Roman"/>
        </w:rPr>
        <w:t>Про збір та облік єдиного внеску на загальнообов'язкове державне соціальне страхування : Закон України від 08.07.2010 р. № 2464-VI : станом на 17 березня 2022 року. URL: https://zakon.rada.gov.ua/laws/show/2464-17#Text (дата звернення: 24.04.2023).</w:t>
      </w:r>
      <w:r w:rsidRPr="00856AB8">
        <w:rPr>
          <w:rFonts w:ascii="Times New Roman" w:hAnsi="Times New Roman" w:cs="Times New Roman"/>
          <w:color w:val="auto"/>
        </w:rPr>
        <w:t xml:space="preserve"> </w:t>
      </w:r>
    </w:p>
    <w:p w14:paraId="4374A0A8" w14:textId="77777777" w:rsidR="00856AB8" w:rsidRPr="00856AB8" w:rsidRDefault="00856AB8" w:rsidP="00856AB8">
      <w:pPr>
        <w:rPr>
          <w:rFonts w:ascii="Times New Roman" w:hAnsi="Times New Roman" w:cs="Times New Roman"/>
          <w:color w:val="auto"/>
        </w:rPr>
        <w:sectPr w:rsidR="00856AB8" w:rsidRPr="00856AB8">
          <w:pgSz w:w="11900" w:h="16840"/>
          <w:pgMar w:top="360" w:right="360" w:bottom="360" w:left="360" w:header="0" w:footer="3" w:gutter="0"/>
          <w:cols w:space="720"/>
          <w:noEndnote/>
          <w:docGrid w:linePitch="360"/>
        </w:sectPr>
      </w:pPr>
    </w:p>
    <w:p w14:paraId="3BFC68E6" w14:textId="77777777" w:rsidR="00D44549" w:rsidRPr="00856AB8" w:rsidRDefault="00D44549">
      <w:pPr>
        <w:rPr>
          <w:rFonts w:ascii="Times New Roman" w:hAnsi="Times New Roman" w:cs="Times New Roman"/>
        </w:rPr>
      </w:pPr>
    </w:p>
    <w:sectPr w:rsidR="00D44549" w:rsidRPr="00856A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9115D"/>
    <w:multiLevelType w:val="multilevel"/>
    <w:tmpl w:val="8578EA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08536F"/>
    <w:multiLevelType w:val="multilevel"/>
    <w:tmpl w:val="01929298"/>
    <w:lvl w:ilvl="0">
      <w:start w:val="5"/>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8840" w:hanging="1800"/>
      </w:pPr>
      <w:rPr>
        <w:rFonts w:hint="default"/>
      </w:rPr>
    </w:lvl>
  </w:abstractNum>
  <w:abstractNum w:abstractNumId="2" w15:restartNumberingAfterBreak="0">
    <w:nsid w:val="23577722"/>
    <w:multiLevelType w:val="multilevel"/>
    <w:tmpl w:val="623C0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575DC2"/>
    <w:multiLevelType w:val="multilevel"/>
    <w:tmpl w:val="5E3ED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912A4A"/>
    <w:multiLevelType w:val="multilevel"/>
    <w:tmpl w:val="41441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D0A6F"/>
    <w:multiLevelType w:val="multilevel"/>
    <w:tmpl w:val="D8BE6D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CC2981"/>
    <w:multiLevelType w:val="multilevel"/>
    <w:tmpl w:val="08F60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B55BC2"/>
    <w:multiLevelType w:val="multilevel"/>
    <w:tmpl w:val="C94AB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9332AE"/>
    <w:multiLevelType w:val="multilevel"/>
    <w:tmpl w:val="FDCE7B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5E0906"/>
    <w:multiLevelType w:val="multilevel"/>
    <w:tmpl w:val="B43861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F55F5A"/>
    <w:multiLevelType w:val="multilevel"/>
    <w:tmpl w:val="7B9803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E167DB"/>
    <w:multiLevelType w:val="multilevel"/>
    <w:tmpl w:val="2AF2D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994CF8"/>
    <w:multiLevelType w:val="multilevel"/>
    <w:tmpl w:val="22EAB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0A4958"/>
    <w:multiLevelType w:val="multilevel"/>
    <w:tmpl w:val="E26A8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FC852E1"/>
    <w:multiLevelType w:val="multilevel"/>
    <w:tmpl w:val="A476E0A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C0C3B1F"/>
    <w:multiLevelType w:val="multilevel"/>
    <w:tmpl w:val="9E129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10"/>
  </w:num>
  <w:num w:numId="4">
    <w:abstractNumId w:val="6"/>
  </w:num>
  <w:num w:numId="5">
    <w:abstractNumId w:val="9"/>
  </w:num>
  <w:num w:numId="6">
    <w:abstractNumId w:val="15"/>
  </w:num>
  <w:num w:numId="7">
    <w:abstractNumId w:val="12"/>
  </w:num>
  <w:num w:numId="8">
    <w:abstractNumId w:val="7"/>
  </w:num>
  <w:num w:numId="9">
    <w:abstractNumId w:val="3"/>
  </w:num>
  <w:num w:numId="10">
    <w:abstractNumId w:val="0"/>
  </w:num>
  <w:num w:numId="11">
    <w:abstractNumId w:val="4"/>
  </w:num>
  <w:num w:numId="12">
    <w:abstractNumId w:val="2"/>
  </w:num>
  <w:num w:numId="13">
    <w:abstractNumId w:val="8"/>
  </w:num>
  <w:num w:numId="14">
    <w:abstractNumId w:val="5"/>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B8"/>
    <w:rsid w:val="005D6A83"/>
    <w:rsid w:val="00856AB8"/>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F387"/>
  <w15:chartTrackingRefBased/>
  <w15:docId w15:val="{0BF3BE28-F0DE-4A73-AD7A-018BDC16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AB8"/>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856AB8"/>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856AB8"/>
    <w:rPr>
      <w:rFonts w:ascii="Times New Roman" w:eastAsia="Times New Roman" w:hAnsi="Times New Roman" w:cs="Times New Roman"/>
      <w:b/>
      <w:bCs/>
      <w:sz w:val="26"/>
      <w:szCs w:val="26"/>
      <w:shd w:val="clear" w:color="auto" w:fill="FFFFFF"/>
    </w:rPr>
  </w:style>
  <w:style w:type="character" w:customStyle="1" w:styleId="4">
    <w:name w:val="Основной текст (4)_"/>
    <w:basedOn w:val="a0"/>
    <w:link w:val="40"/>
    <w:rsid w:val="00856AB8"/>
    <w:rPr>
      <w:rFonts w:ascii="Times New Roman" w:eastAsia="Times New Roman" w:hAnsi="Times New Roman" w:cs="Times New Roman"/>
      <w:i/>
      <w:iCs/>
      <w:sz w:val="26"/>
      <w:szCs w:val="26"/>
      <w:shd w:val="clear" w:color="auto" w:fill="FFFFFF"/>
    </w:rPr>
  </w:style>
  <w:style w:type="character" w:customStyle="1" w:styleId="a3">
    <w:name w:val="Колонтитул_"/>
    <w:basedOn w:val="a0"/>
    <w:rsid w:val="00856AB8"/>
    <w:rPr>
      <w:rFonts w:ascii="Times New Roman" w:eastAsia="Times New Roman" w:hAnsi="Times New Roman" w:cs="Times New Roman"/>
      <w:b w:val="0"/>
      <w:bCs w:val="0"/>
      <w:i w:val="0"/>
      <w:iCs w:val="0"/>
      <w:smallCaps w:val="0"/>
      <w:strike w:val="0"/>
      <w:sz w:val="22"/>
      <w:szCs w:val="22"/>
      <w:u w:val="none"/>
    </w:rPr>
  </w:style>
  <w:style w:type="character" w:customStyle="1" w:styleId="20">
    <w:name w:val="Заголовок №2_"/>
    <w:basedOn w:val="a0"/>
    <w:link w:val="21"/>
    <w:rsid w:val="00856AB8"/>
    <w:rPr>
      <w:rFonts w:ascii="Times New Roman" w:eastAsia="Times New Roman" w:hAnsi="Times New Roman" w:cs="Times New Roman"/>
      <w:b/>
      <w:bCs/>
      <w:sz w:val="26"/>
      <w:szCs w:val="26"/>
      <w:shd w:val="clear" w:color="auto" w:fill="FFFFFF"/>
    </w:rPr>
  </w:style>
  <w:style w:type="character" w:customStyle="1" w:styleId="22">
    <w:name w:val="Основной текст (2) + Полужирный"/>
    <w:basedOn w:val="2"/>
    <w:rsid w:val="00856AB8"/>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3">
    <w:name w:val="Основной текст (2)"/>
    <w:basedOn w:val="2"/>
    <w:rsid w:val="00856A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24">
    <w:name w:val="Основной текст (2) + Курсив"/>
    <w:basedOn w:val="2"/>
    <w:rsid w:val="00856AB8"/>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a4">
    <w:name w:val="Колонтитул"/>
    <w:basedOn w:val="a3"/>
    <w:rsid w:val="00856A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41">
    <w:name w:val="Основной текст (4) + Не курсив"/>
    <w:basedOn w:val="4"/>
    <w:rsid w:val="00856AB8"/>
    <w:rPr>
      <w:rFonts w:ascii="Times New Roman" w:eastAsia="Times New Roman" w:hAnsi="Times New Roman" w:cs="Times New Roman"/>
      <w:i/>
      <w:iCs/>
      <w:color w:val="000000"/>
      <w:spacing w:val="0"/>
      <w:w w:val="100"/>
      <w:position w:val="0"/>
      <w:sz w:val="26"/>
      <w:szCs w:val="26"/>
      <w:shd w:val="clear" w:color="auto" w:fill="FFFFFF"/>
      <w:lang w:val="uk-UA" w:eastAsia="uk-UA" w:bidi="uk-UA"/>
    </w:rPr>
  </w:style>
  <w:style w:type="paragraph" w:customStyle="1" w:styleId="30">
    <w:name w:val="Основной текст (3)"/>
    <w:basedOn w:val="a"/>
    <w:link w:val="3"/>
    <w:rsid w:val="00856AB8"/>
    <w:pPr>
      <w:shd w:val="clear" w:color="auto" w:fill="FFFFFF"/>
      <w:spacing w:before="360" w:after="66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40">
    <w:name w:val="Основной текст (4)"/>
    <w:basedOn w:val="a"/>
    <w:link w:val="4"/>
    <w:rsid w:val="00856AB8"/>
    <w:pPr>
      <w:shd w:val="clear" w:color="auto" w:fill="FFFFFF"/>
      <w:spacing w:before="660" w:line="307" w:lineRule="exact"/>
      <w:jc w:val="center"/>
    </w:pPr>
    <w:rPr>
      <w:rFonts w:ascii="Times New Roman" w:eastAsia="Times New Roman" w:hAnsi="Times New Roman" w:cs="Times New Roman"/>
      <w:i/>
      <w:iCs/>
      <w:color w:val="auto"/>
      <w:sz w:val="26"/>
      <w:szCs w:val="26"/>
      <w:lang w:eastAsia="en-US" w:bidi="ar-SA"/>
    </w:rPr>
  </w:style>
  <w:style w:type="paragraph" w:customStyle="1" w:styleId="21">
    <w:name w:val="Заголовок №2"/>
    <w:basedOn w:val="a"/>
    <w:link w:val="20"/>
    <w:rsid w:val="00856AB8"/>
    <w:pPr>
      <w:shd w:val="clear" w:color="auto" w:fill="FFFFFF"/>
      <w:spacing w:after="420" w:line="0" w:lineRule="atLeast"/>
      <w:jc w:val="center"/>
      <w:outlineLvl w:val="1"/>
    </w:pPr>
    <w:rPr>
      <w:rFonts w:ascii="Times New Roman" w:eastAsia="Times New Roman" w:hAnsi="Times New Roman" w:cs="Times New Roman"/>
      <w:b/>
      <w:bCs/>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13405</Words>
  <Characters>7641</Characters>
  <Application>Microsoft Office Word</Application>
  <DocSecurity>0</DocSecurity>
  <Lines>63</Lines>
  <Paragraphs>42</Paragraphs>
  <ScaleCrop>false</ScaleCrop>
  <Company/>
  <LinksUpToDate>false</LinksUpToDate>
  <CharactersWithSpaces>21004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2023-12-09T19:00:00Z</dcterms:created>
  <dcterms:modified xsi:type="dcterms:W3CDTF">2023-12-09T19:04:00Z</dcterms:modified>
</cp:coreProperties>
</file>