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CF0A" w14:textId="77777777" w:rsidR="009D62F5" w:rsidRPr="009D62F5" w:rsidRDefault="009D62F5" w:rsidP="009D62F5">
      <w:pPr>
        <w:pStyle w:val="20"/>
        <w:framePr w:w="9701" w:h="12155" w:hRule="exact" w:wrap="none" w:vAnchor="page" w:hAnchor="page" w:x="1389" w:y="1280"/>
        <w:shd w:val="clear" w:color="auto" w:fill="auto"/>
        <w:spacing w:after="349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ЛЕКЦІЯ 2. ДЕРЖАВНА ПОДАТКОВА СЛУЖБА УКРАЇНИ</w:t>
      </w:r>
    </w:p>
    <w:p w14:paraId="5BC6916A" w14:textId="77777777" w:rsidR="009D62F5" w:rsidRPr="009D62F5" w:rsidRDefault="009D62F5" w:rsidP="009D62F5">
      <w:pPr>
        <w:pStyle w:val="20"/>
        <w:framePr w:w="9701" w:h="12155" w:hRule="exact" w:wrap="none" w:vAnchor="page" w:hAnchor="page" w:x="1389" w:y="1280"/>
        <w:numPr>
          <w:ilvl w:val="0"/>
          <w:numId w:val="1"/>
        </w:numPr>
        <w:shd w:val="clear" w:color="auto" w:fill="auto"/>
        <w:tabs>
          <w:tab w:val="left" w:pos="59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Структура державної податкової служби.</w:t>
      </w:r>
    </w:p>
    <w:p w14:paraId="6BC58717" w14:textId="77777777" w:rsidR="009D62F5" w:rsidRPr="009D62F5" w:rsidRDefault="009D62F5" w:rsidP="009D62F5">
      <w:pPr>
        <w:pStyle w:val="20"/>
        <w:framePr w:w="9701" w:h="12155" w:hRule="exact" w:wrap="none" w:vAnchor="page" w:hAnchor="page" w:x="1389" w:y="1280"/>
        <w:numPr>
          <w:ilvl w:val="0"/>
          <w:numId w:val="1"/>
        </w:numPr>
        <w:shd w:val="clear" w:color="auto" w:fill="auto"/>
        <w:tabs>
          <w:tab w:val="left" w:pos="59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Завдання державної податкової служби.</w:t>
      </w:r>
    </w:p>
    <w:p w14:paraId="13DC79AA" w14:textId="77777777" w:rsidR="009D62F5" w:rsidRPr="009D62F5" w:rsidRDefault="009D62F5" w:rsidP="009D62F5">
      <w:pPr>
        <w:pStyle w:val="20"/>
        <w:framePr w:w="9701" w:h="12155" w:hRule="exact" w:wrap="none" w:vAnchor="page" w:hAnchor="page" w:x="1389" w:y="1280"/>
        <w:numPr>
          <w:ilvl w:val="0"/>
          <w:numId w:val="1"/>
        </w:numPr>
        <w:shd w:val="clear" w:color="auto" w:fill="auto"/>
        <w:tabs>
          <w:tab w:val="left" w:pos="594"/>
        </w:tabs>
        <w:spacing w:after="349" w:line="322" w:lineRule="exact"/>
        <w:ind w:firstLine="0"/>
        <w:jc w:val="both"/>
        <w:rPr>
          <w:sz w:val="24"/>
          <w:szCs w:val="24"/>
        </w:rPr>
      </w:pPr>
      <w:bookmarkStart w:id="0" w:name="bookmark20"/>
      <w:r w:rsidRPr="009D62F5">
        <w:rPr>
          <w:sz w:val="24"/>
          <w:szCs w:val="24"/>
        </w:rPr>
        <w:t>Функції державної податкової служби.</w:t>
      </w:r>
      <w:bookmarkEnd w:id="0"/>
    </w:p>
    <w:p w14:paraId="0C342F6D" w14:textId="77777777" w:rsidR="009D62F5" w:rsidRPr="009D62F5" w:rsidRDefault="009D62F5" w:rsidP="009D62F5">
      <w:pPr>
        <w:pStyle w:val="22"/>
        <w:framePr w:w="9701" w:h="12155" w:hRule="exact" w:wrap="none" w:vAnchor="page" w:hAnchor="page" w:x="1389" w:y="1280"/>
        <w:numPr>
          <w:ilvl w:val="0"/>
          <w:numId w:val="2"/>
        </w:numPr>
        <w:shd w:val="clear" w:color="auto" w:fill="auto"/>
        <w:tabs>
          <w:tab w:val="left" w:pos="2006"/>
        </w:tabs>
        <w:spacing w:after="362" w:line="260" w:lineRule="exact"/>
        <w:ind w:left="1480"/>
        <w:jc w:val="both"/>
        <w:rPr>
          <w:sz w:val="24"/>
          <w:szCs w:val="24"/>
        </w:rPr>
      </w:pPr>
      <w:bookmarkStart w:id="1" w:name="bookmark21"/>
      <w:r w:rsidRPr="009D62F5">
        <w:rPr>
          <w:sz w:val="24"/>
          <w:szCs w:val="24"/>
        </w:rPr>
        <w:t>Структура державної податкової служби України</w:t>
      </w:r>
      <w:bookmarkEnd w:id="1"/>
    </w:p>
    <w:p w14:paraId="490C12B5" w14:textId="77777777" w:rsidR="009D62F5" w:rsidRPr="009D62F5" w:rsidRDefault="009D62F5" w:rsidP="009D62F5">
      <w:pPr>
        <w:framePr w:w="9701" w:h="12155" w:hRule="exact" w:wrap="none" w:vAnchor="page" w:hAnchor="page" w:x="1389" w:y="1280"/>
        <w:shd w:val="clear" w:color="auto" w:fill="FFFFFF"/>
        <w:spacing w:line="240" w:lineRule="atLeast"/>
        <w:ind w:firstLine="567"/>
        <w:jc w:val="both"/>
        <w:textAlignment w:val="baseline"/>
        <w:outlineLvl w:val="0"/>
        <w:rPr>
          <w:rFonts w:ascii="Times New Roman" w:hAnsi="Times New Roman" w:cs="Times New Roman"/>
          <w:color w:val="auto"/>
        </w:rPr>
      </w:pPr>
      <w:bookmarkStart w:id="2" w:name="_Hlk151223332"/>
      <w:r w:rsidRPr="009D62F5">
        <w:rPr>
          <w:rFonts w:ascii="Times New Roman" w:hAnsi="Times New Roman" w:cs="Times New Roman"/>
          <w:color w:val="auto"/>
        </w:rPr>
        <w:t>Державна податкова служба України (ДПС) є центральним органом виконавчої влади, діяльність якого спрямовується і координується Кабінетом Міністрів України через Міністра фінансів і який реалізує державну податкову політику, державну політику з адміністрування єдиного внеску на загальнообов’язкове державне соціальне страхування (далі - єдиний внесок).</w:t>
      </w:r>
    </w:p>
    <w:p w14:paraId="6F3686BD" w14:textId="77777777" w:rsidR="009D62F5" w:rsidRPr="009D62F5" w:rsidRDefault="009D62F5" w:rsidP="009D62F5">
      <w:pPr>
        <w:framePr w:w="9701" w:h="12155" w:hRule="exact" w:wrap="none" w:vAnchor="page" w:hAnchor="page" w:x="1389" w:y="1280"/>
        <w:shd w:val="clear" w:color="auto" w:fill="FFFFFF"/>
        <w:spacing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auto"/>
          <w:kern w:val="36"/>
        </w:rPr>
      </w:pPr>
      <w:r w:rsidRPr="009D62F5">
        <w:rPr>
          <w:rFonts w:ascii="Times New Roman" w:eastAsia="Times New Roman" w:hAnsi="Times New Roman" w:cs="Times New Roman"/>
          <w:color w:val="auto"/>
          <w:kern w:val="36"/>
        </w:rPr>
        <w:t>Апарат</w:t>
      </w:r>
    </w:p>
    <w:p w14:paraId="19DBEA76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5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організації роботи Служби</w:t>
        </w:r>
      </w:hyperlink>
    </w:p>
    <w:p w14:paraId="24BE76A1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6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забезпечення відомчого контролю</w:t>
        </w:r>
      </w:hyperlink>
    </w:p>
    <w:p w14:paraId="39D9B616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7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внутрішнього аудиту</w:t>
        </w:r>
      </w:hyperlink>
    </w:p>
    <w:p w14:paraId="702B3B49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8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оподаткування юридичних осіб</w:t>
        </w:r>
      </w:hyperlink>
    </w:p>
    <w:p w14:paraId="458E62CB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9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оподаткування фізичних осіб</w:t>
        </w:r>
      </w:hyperlink>
    </w:p>
    <w:p w14:paraId="0270E895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0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правового забезпечення</w:t>
        </w:r>
      </w:hyperlink>
    </w:p>
    <w:p w14:paraId="40973FA5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1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оскарження рішень контролюючих органів</w:t>
        </w:r>
      </w:hyperlink>
    </w:p>
    <w:p w14:paraId="05717A88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2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податкового аудиту</w:t>
        </w:r>
      </w:hyperlink>
    </w:p>
    <w:p w14:paraId="6D7678DD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3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запобігання фінансовим операціям, пов’язаним з легалізацією доходів, одержаних злочинним шляхом</w:t>
        </w:r>
      </w:hyperlink>
    </w:p>
    <w:p w14:paraId="75079EBB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4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контролю за підакцизними товарами</w:t>
        </w:r>
      </w:hyperlink>
    </w:p>
    <w:p w14:paraId="4061743A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5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фінансового забезпечення та бухгалтерського обліку</w:t>
        </w:r>
      </w:hyperlink>
    </w:p>
    <w:p w14:paraId="75B4BE7E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6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інфраструктури та господарського забезпечення</w:t>
        </w:r>
      </w:hyperlink>
    </w:p>
    <w:p w14:paraId="31FCD76B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7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персоналу</w:t>
        </w:r>
      </w:hyperlink>
    </w:p>
    <w:p w14:paraId="4BE0F039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8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податкових сервісів</w:t>
        </w:r>
      </w:hyperlink>
    </w:p>
    <w:p w14:paraId="0F6C9812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19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інформаційних технологій</w:t>
        </w:r>
      </w:hyperlink>
    </w:p>
    <w:p w14:paraId="5412AA74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0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по роботі з податковим боргом</w:t>
        </w:r>
      </w:hyperlink>
    </w:p>
    <w:p w14:paraId="6B21FBA8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1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міжнародного співробітництва</w:t>
        </w:r>
      </w:hyperlink>
    </w:p>
    <w:p w14:paraId="11C03BDE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2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управління ризиками</w:t>
        </w:r>
      </w:hyperlink>
    </w:p>
    <w:p w14:paraId="16C5736A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3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економічного аналізу</w:t>
        </w:r>
      </w:hyperlink>
    </w:p>
    <w:p w14:paraId="2FE97317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4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методології</w:t>
        </w:r>
      </w:hyperlink>
    </w:p>
    <w:p w14:paraId="29F0FB12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5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з питань запобігання та виявлення корупції</w:t>
        </w:r>
      </w:hyperlink>
    </w:p>
    <w:p w14:paraId="1CDCA07B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6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трансфертного ціноутворення</w:t>
        </w:r>
      </w:hyperlink>
    </w:p>
    <w:p w14:paraId="57055856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7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Інформаційно-довідковий департамент</w:t>
        </w:r>
      </w:hyperlink>
    </w:p>
    <w:p w14:paraId="031ACA4A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8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Мобілізаційний відділ</w:t>
        </w:r>
      </w:hyperlink>
    </w:p>
    <w:p w14:paraId="35CF33B4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29" w:history="1">
        <w:proofErr w:type="spellStart"/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Режимно</w:t>
        </w:r>
        <w:proofErr w:type="spellEnd"/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-секретне управління</w:t>
        </w:r>
      </w:hyperlink>
    </w:p>
    <w:p w14:paraId="68FF4A6C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30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Управління забезпечення захисту критичної інфраструктури</w:t>
        </w:r>
      </w:hyperlink>
    </w:p>
    <w:p w14:paraId="24D6ED66" w14:textId="77777777" w:rsidR="009D62F5" w:rsidRPr="009D62F5" w:rsidRDefault="009D62F5" w:rsidP="009D62F5">
      <w:pPr>
        <w:framePr w:w="9701" w:h="12155" w:hRule="exact" w:wrap="none" w:vAnchor="page" w:hAnchor="page" w:x="1389" w:y="1280"/>
        <w:widowControl/>
        <w:numPr>
          <w:ilvl w:val="0"/>
          <w:numId w:val="6"/>
        </w:numPr>
        <w:shd w:val="clear" w:color="auto" w:fill="FFFFFF"/>
        <w:spacing w:after="160"/>
        <w:textAlignment w:val="baseline"/>
        <w:rPr>
          <w:rFonts w:ascii="Times New Roman" w:eastAsia="Times New Roman" w:hAnsi="Times New Roman" w:cs="Times New Roman"/>
          <w:color w:val="auto"/>
        </w:rPr>
      </w:pPr>
      <w:hyperlink r:id="rId31" w:history="1">
        <w:r w:rsidRPr="009D62F5">
          <w:rPr>
            <w:rFonts w:ascii="Times New Roman" w:eastAsia="Times New Roman" w:hAnsi="Times New Roman" w:cs="Times New Roman"/>
            <w:color w:val="auto"/>
            <w:u w:val="single"/>
            <w:bdr w:val="none" w:sz="0" w:space="0" w:color="auto" w:frame="1"/>
          </w:rPr>
          <w:t>Департамент охорони державної таємниці, технічного та криптографічного захисту інформації</w:t>
        </w:r>
      </w:hyperlink>
    </w:p>
    <w:p w14:paraId="645E2590" w14:textId="77777777" w:rsidR="009D62F5" w:rsidRPr="009D62F5" w:rsidRDefault="009D62F5" w:rsidP="009D62F5">
      <w:pPr>
        <w:pStyle w:val="a5"/>
        <w:framePr w:w="9701" w:h="12155" w:hRule="exact" w:wrap="none" w:vAnchor="page" w:hAnchor="page" w:x="1389" w:y="12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2F5">
        <w:rPr>
          <w:rFonts w:ascii="Times New Roman" w:hAnsi="Times New Roman" w:cs="Times New Roman"/>
          <w:sz w:val="24"/>
          <w:szCs w:val="24"/>
        </w:rPr>
        <w:t> Структуру апарату ДПС затверджує її Голова за погодженням з Міністром фінансів.</w:t>
      </w:r>
    </w:p>
    <w:p w14:paraId="0AD3F868" w14:textId="77777777" w:rsidR="009D62F5" w:rsidRPr="009D62F5" w:rsidRDefault="009D62F5" w:rsidP="009D62F5">
      <w:pPr>
        <w:pStyle w:val="a5"/>
        <w:framePr w:w="9701" w:h="12155" w:hRule="exact" w:wrap="none" w:vAnchor="page" w:hAnchor="page" w:x="1389" w:y="12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2F5">
        <w:rPr>
          <w:rFonts w:ascii="Times New Roman" w:hAnsi="Times New Roman" w:cs="Times New Roman"/>
          <w:sz w:val="24"/>
          <w:szCs w:val="24"/>
        </w:rPr>
        <w:t> Штатний розпис, кошторис апарату ДПС затверджує Голова ДПС за погодженням з Мінфіном.</w:t>
      </w:r>
    </w:p>
    <w:p w14:paraId="00ED6143" w14:textId="77777777" w:rsidR="009D62F5" w:rsidRPr="009D62F5" w:rsidRDefault="009D62F5" w:rsidP="009D62F5">
      <w:pPr>
        <w:pStyle w:val="a5"/>
        <w:framePr w:w="9701" w:h="12155" w:hRule="exact" w:wrap="none" w:vAnchor="page" w:hAnchor="page" w:x="1389" w:y="12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2F5">
        <w:rPr>
          <w:rFonts w:ascii="Times New Roman" w:hAnsi="Times New Roman" w:cs="Times New Roman"/>
          <w:sz w:val="24"/>
          <w:szCs w:val="24"/>
        </w:rPr>
        <w:t> ДПС є юридичною особою публічного права, має печатку із зображенням Державного Герба України та своїм найменуванням, власні бланки, рахунки в органах Казначейства і банках.</w:t>
      </w:r>
    </w:p>
    <w:bookmarkEnd w:id="2"/>
    <w:p w14:paraId="2DB8F2A6" w14:textId="77777777" w:rsidR="009D62F5" w:rsidRPr="009D62F5" w:rsidRDefault="009D62F5" w:rsidP="009D62F5">
      <w:pPr>
        <w:pStyle w:val="22"/>
        <w:framePr w:w="9701" w:h="12155" w:hRule="exact" w:wrap="none" w:vAnchor="page" w:hAnchor="page" w:x="1389" w:y="1280"/>
        <w:shd w:val="clear" w:color="auto" w:fill="auto"/>
        <w:tabs>
          <w:tab w:val="left" w:pos="2006"/>
        </w:tabs>
        <w:spacing w:after="362" w:line="260" w:lineRule="exact"/>
        <w:ind w:left="142"/>
        <w:jc w:val="both"/>
        <w:rPr>
          <w:sz w:val="24"/>
          <w:szCs w:val="24"/>
        </w:rPr>
      </w:pPr>
    </w:p>
    <w:p w14:paraId="2B41A3B2" w14:textId="77777777" w:rsidR="009D62F5" w:rsidRPr="009D62F5" w:rsidRDefault="009D62F5" w:rsidP="009D62F5">
      <w:pPr>
        <w:framePr w:wrap="none" w:vAnchor="page" w:hAnchor="page" w:x="1605" w:y="8315"/>
        <w:rPr>
          <w:rFonts w:ascii="Times New Roman" w:hAnsi="Times New Roman" w:cs="Times New Roman"/>
          <w:color w:val="auto"/>
        </w:rPr>
      </w:pPr>
    </w:p>
    <w:p w14:paraId="1031BD65" w14:textId="77777777" w:rsidR="009D62F5" w:rsidRPr="009D62F5" w:rsidRDefault="009D62F5" w:rsidP="009D62F5">
      <w:pPr>
        <w:pStyle w:val="22"/>
        <w:framePr w:w="9701" w:h="2710" w:hRule="exact" w:wrap="none" w:vAnchor="page" w:hAnchor="page" w:x="1389" w:y="13603"/>
        <w:numPr>
          <w:ilvl w:val="0"/>
          <w:numId w:val="2"/>
        </w:numPr>
        <w:shd w:val="clear" w:color="auto" w:fill="auto"/>
        <w:tabs>
          <w:tab w:val="left" w:pos="2666"/>
        </w:tabs>
        <w:spacing w:after="313" w:line="260" w:lineRule="exact"/>
        <w:ind w:left="2140"/>
        <w:jc w:val="both"/>
        <w:rPr>
          <w:sz w:val="24"/>
          <w:szCs w:val="24"/>
        </w:rPr>
      </w:pPr>
      <w:bookmarkStart w:id="3" w:name="bookmark22"/>
      <w:r w:rsidRPr="009D62F5">
        <w:rPr>
          <w:sz w:val="24"/>
          <w:szCs w:val="24"/>
        </w:rPr>
        <w:t>Завдання державної податкової служби</w:t>
      </w:r>
      <w:bookmarkEnd w:id="3"/>
    </w:p>
    <w:p w14:paraId="5F3B7FBA" w14:textId="77777777" w:rsidR="009D62F5" w:rsidRPr="009D62F5" w:rsidRDefault="009D62F5" w:rsidP="009D62F5">
      <w:pPr>
        <w:pStyle w:val="20"/>
        <w:framePr w:w="9701" w:h="2710" w:hRule="exact" w:wrap="none" w:vAnchor="page" w:hAnchor="page" w:x="1389" w:y="13603"/>
        <w:numPr>
          <w:ilvl w:val="0"/>
          <w:numId w:val="3"/>
        </w:numPr>
        <w:shd w:val="clear" w:color="auto" w:fill="auto"/>
        <w:tabs>
          <w:tab w:val="left" w:pos="421"/>
        </w:tabs>
        <w:spacing w:after="0" w:line="322" w:lineRule="exact"/>
        <w:ind w:firstLine="0"/>
        <w:jc w:val="both"/>
        <w:rPr>
          <w:sz w:val="24"/>
          <w:szCs w:val="24"/>
        </w:rPr>
      </w:pPr>
      <w:bookmarkStart w:id="4" w:name="bookmark23"/>
      <w:r w:rsidRPr="009D62F5">
        <w:rPr>
          <w:sz w:val="24"/>
          <w:szCs w:val="24"/>
        </w:rPr>
        <w:t>реалізація державної податкової політики та політики у сфері державної митної справи, державної політики у сфері боротьби з правопорушеннями під час застосування податкового, митного законодавства, здійснення в межах повноважень, передбачених законом, контролю за надходженням до бюджетів та державних цільових фондів податків і зборів, митних та інших платежів,</w:t>
      </w:r>
      <w:bookmarkEnd w:id="4"/>
    </w:p>
    <w:p w14:paraId="089FF554" w14:textId="77777777" w:rsidR="009D62F5" w:rsidRPr="009D62F5" w:rsidRDefault="009D62F5" w:rsidP="009D62F5">
      <w:pPr>
        <w:rPr>
          <w:rFonts w:ascii="Times New Roman" w:hAnsi="Times New Roman" w:cs="Times New Roman"/>
          <w:color w:val="auto"/>
        </w:rPr>
        <w:sectPr w:rsidR="009D62F5" w:rsidRPr="009D62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33EC6" w14:textId="77777777" w:rsidR="009D62F5" w:rsidRPr="009D62F5" w:rsidRDefault="009D62F5" w:rsidP="009D62F5">
      <w:pPr>
        <w:pStyle w:val="a4"/>
        <w:framePr w:w="9701" w:h="345" w:hRule="exact" w:wrap="none" w:vAnchor="page" w:hAnchor="page" w:x="1389" w:y="655"/>
        <w:shd w:val="clear" w:color="auto" w:fill="auto"/>
        <w:spacing w:line="317" w:lineRule="exact"/>
        <w:rPr>
          <w:sz w:val="24"/>
          <w:szCs w:val="24"/>
        </w:rPr>
      </w:pPr>
      <w:r w:rsidRPr="009D62F5">
        <w:rPr>
          <w:sz w:val="24"/>
          <w:szCs w:val="24"/>
        </w:rPr>
        <w:lastRenderedPageBreak/>
        <w:t>15</w:t>
      </w:r>
    </w:p>
    <w:p w14:paraId="5ADC3906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shd w:val="clear" w:color="auto" w:fill="auto"/>
        <w:tabs>
          <w:tab w:val="left" w:pos="42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державної політики у сфері контролю за виробництвом та обігом спирту, алкогольних напоїв і тютюнових виробів, державної політики з адміністрування єдиного внеску, а також боротьби з правопорушеннями під час застосування законодавства з питань сплати єдиного внеску, державної політики у сфері контролю за своєчасністю здійснення розрахунків в іноземній валюті в установлений законом строк, дотриманням порядку проведення готівкових розрахунків за товари (послуги), а також за наявністю ліцензій на провадження видів господарської діяльності, що підлягають ліцензуванню відповідно до закону, торгових патентів;</w:t>
      </w:r>
    </w:p>
    <w:p w14:paraId="4D848833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3"/>
        </w:numPr>
        <w:shd w:val="clear" w:color="auto" w:fill="auto"/>
        <w:tabs>
          <w:tab w:val="left" w:pos="433"/>
        </w:tabs>
        <w:spacing w:after="346" w:line="317" w:lineRule="exact"/>
        <w:ind w:firstLine="0"/>
        <w:jc w:val="both"/>
        <w:rPr>
          <w:sz w:val="24"/>
          <w:szCs w:val="24"/>
        </w:rPr>
      </w:pPr>
      <w:bookmarkStart w:id="5" w:name="bookmark24"/>
      <w:r w:rsidRPr="009D62F5">
        <w:rPr>
          <w:sz w:val="24"/>
          <w:szCs w:val="24"/>
        </w:rPr>
        <w:t>внесення на розгляд Міністра фінансів пропозицій щодо забезпечення формування: державної податкової політики; державної політики у сфері державної митної справи; державної політики у сфері боротьби з правопорушеннями під час застосування податкового, митного законодавства, здійснення контролю за надходженням до бюджетів та державних цільових фондів податків і зборів, митних та інших платежів; державної політики у сфері контролю за виробництвом та обігом спирту, алкогольних напоїв і тютюнових виробів; державної політики з адміністрування єдиного внеску, а також боротьби з правопорушеннями під час застосування законодавства з питань сплати єдиного внеску; державної політики у сфері контролю за своєчасністю здійснення розрахунків в іноземній валюті в установлений законом строк, дотриманням порядку проведення готівкових розрахунків за товари (послуги), а також за наявністю ліцензій на провадження видів господарської діяльності, що підлягають ліцензуванню відповідно до закону, торгових патентів.</w:t>
      </w:r>
      <w:bookmarkEnd w:id="5"/>
    </w:p>
    <w:p w14:paraId="7069F161" w14:textId="77777777" w:rsidR="009D62F5" w:rsidRPr="009D62F5" w:rsidRDefault="009D62F5" w:rsidP="009D62F5">
      <w:pPr>
        <w:pStyle w:val="22"/>
        <w:framePr w:w="9701" w:h="14836" w:hRule="exact" w:wrap="none" w:vAnchor="page" w:hAnchor="page" w:x="1420" w:y="1331"/>
        <w:numPr>
          <w:ilvl w:val="1"/>
          <w:numId w:val="3"/>
        </w:numPr>
        <w:shd w:val="clear" w:color="auto" w:fill="auto"/>
        <w:tabs>
          <w:tab w:val="left" w:pos="2691"/>
        </w:tabs>
        <w:spacing w:after="313" w:line="260" w:lineRule="exact"/>
        <w:ind w:left="2220"/>
        <w:jc w:val="both"/>
        <w:rPr>
          <w:sz w:val="24"/>
          <w:szCs w:val="24"/>
        </w:rPr>
      </w:pPr>
      <w:bookmarkStart w:id="6" w:name="bookmark25"/>
      <w:r w:rsidRPr="009D62F5">
        <w:rPr>
          <w:sz w:val="24"/>
          <w:szCs w:val="24"/>
        </w:rPr>
        <w:t>Функції державної податкової служби</w:t>
      </w:r>
      <w:bookmarkEnd w:id="6"/>
    </w:p>
    <w:p w14:paraId="2B5E02D0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shd w:val="clear" w:color="auto" w:fill="auto"/>
        <w:spacing w:after="0" w:line="322" w:lineRule="exact"/>
        <w:ind w:left="600" w:firstLine="0"/>
        <w:jc w:val="left"/>
        <w:rPr>
          <w:sz w:val="24"/>
          <w:szCs w:val="24"/>
        </w:rPr>
      </w:pPr>
      <w:r w:rsidRPr="009D62F5">
        <w:rPr>
          <w:sz w:val="24"/>
          <w:szCs w:val="24"/>
        </w:rPr>
        <w:t>Держава фіскальна служба виконує такі функції:</w:t>
      </w:r>
    </w:p>
    <w:p w14:paraId="509EA0AE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розробляє проекти законів України, проекти актів Президента України, Кабінету Міністрів України та вносить їх у встановленому порядку на розгляд Кабінету Міністрів України з урахуванням практики застосування законодавства з питань, що належать до компетенції ДФС;</w:t>
      </w:r>
    </w:p>
    <w:p w14:paraId="7087191C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розробляє та затверджує порядки, інструкції, положення, форми розрахунків, звітів, декларацій, інших документів з питань, що належать до компетенції ДФС;</w:t>
      </w:r>
    </w:p>
    <w:p w14:paraId="09DB4894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розробляє пропозиції до проектів міжнародних договорів України та забезпечує дотримання і виконання зобов'язань, взятих за міжнародними договорами України, з питань, що належать до компетенції ДФС;</w:t>
      </w:r>
    </w:p>
    <w:p w14:paraId="3C7BFD8E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визначає єдині методологічні засади складення звітності з податків і зборів, звітності з єдиного внеску та інших питань, що належать до компетенції ДФС;</w:t>
      </w:r>
    </w:p>
    <w:p w14:paraId="7BBAF55E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здійснює адміністрування податків і зборів, митних платежів, єдиного внеску;</w:t>
      </w:r>
    </w:p>
    <w:p w14:paraId="4E640D9C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контролює своєчасність подання платниками податків та єдиного внеску передбаченої законом звітності (декларації, розрахунки тощо), своєчасність, достовірність, повноту нарахування та сплати податків і зборів, єдиного внеску;</w:t>
      </w:r>
    </w:p>
    <w:p w14:paraId="6F6AFA40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надає відповідно до закону в межах своїх повноважень адміністративні послуги;</w:t>
      </w:r>
    </w:p>
    <w:p w14:paraId="760F6E9F" w14:textId="77777777" w:rsidR="009D62F5" w:rsidRPr="009D62F5" w:rsidRDefault="009D62F5" w:rsidP="009D62F5">
      <w:pPr>
        <w:pStyle w:val="20"/>
        <w:framePr w:w="9701" w:h="14836" w:hRule="exact" w:wrap="none" w:vAnchor="page" w:hAnchor="page" w:x="1420" w:y="133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здійснює контроль за додержанням податкового і митного законодавства, законодавства щодо адміністрування єдиного внеску та в межах своїх</w:t>
      </w:r>
    </w:p>
    <w:p w14:paraId="4913AFE4" w14:textId="77777777" w:rsidR="009D62F5" w:rsidRPr="009D62F5" w:rsidRDefault="009D62F5" w:rsidP="009D62F5">
      <w:pPr>
        <w:rPr>
          <w:rFonts w:ascii="Times New Roman" w:hAnsi="Times New Roman" w:cs="Times New Roman"/>
          <w:color w:val="auto"/>
        </w:rPr>
        <w:sectPr w:rsidR="009D62F5" w:rsidRPr="009D62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4F877C" w14:textId="77777777" w:rsidR="009D62F5" w:rsidRPr="009D62F5" w:rsidRDefault="009D62F5" w:rsidP="009D62F5">
      <w:pPr>
        <w:pStyle w:val="a4"/>
        <w:framePr w:w="9701" w:h="249" w:hRule="exact" w:wrap="none" w:vAnchor="page" w:hAnchor="page" w:x="1389" w:y="732"/>
        <w:shd w:val="clear" w:color="auto" w:fill="auto"/>
        <w:spacing w:line="220" w:lineRule="exact"/>
        <w:rPr>
          <w:sz w:val="24"/>
          <w:szCs w:val="24"/>
        </w:rPr>
      </w:pPr>
      <w:r w:rsidRPr="009D62F5">
        <w:rPr>
          <w:sz w:val="24"/>
          <w:szCs w:val="24"/>
        </w:rPr>
        <w:lastRenderedPageBreak/>
        <w:t>16</w:t>
      </w:r>
    </w:p>
    <w:p w14:paraId="6D0D68BA" w14:textId="77777777" w:rsidR="009D62F5" w:rsidRPr="009D62F5" w:rsidRDefault="009D62F5" w:rsidP="009D62F5">
      <w:pPr>
        <w:pStyle w:val="20"/>
        <w:framePr w:w="9701" w:h="14690" w:hRule="exact" w:wrap="none" w:vAnchor="page" w:hAnchor="page" w:x="1419" w:y="1242"/>
        <w:shd w:val="clear" w:color="auto" w:fill="auto"/>
        <w:tabs>
          <w:tab w:val="left" w:pos="374"/>
        </w:tabs>
        <w:spacing w:after="59" w:line="260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повноважень - іншого законодавства, контроль за додержанням якого покладено</w:t>
      </w:r>
    </w:p>
    <w:p w14:paraId="367788C1" w14:textId="77777777" w:rsidR="009D62F5" w:rsidRPr="009D62F5" w:rsidRDefault="009D62F5" w:rsidP="009D62F5">
      <w:pPr>
        <w:pStyle w:val="20"/>
        <w:framePr w:w="9701" w:h="14690" w:hRule="exact" w:wrap="none" w:vAnchor="page" w:hAnchor="page" w:x="1419" w:y="1242"/>
        <w:shd w:val="clear" w:color="auto" w:fill="auto"/>
        <w:tabs>
          <w:tab w:val="left" w:pos="5400"/>
        </w:tabs>
        <w:spacing w:after="0" w:line="260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ДФС;</w:t>
      </w:r>
      <w:r w:rsidRPr="009D62F5">
        <w:rPr>
          <w:sz w:val="24"/>
          <w:szCs w:val="24"/>
        </w:rPr>
        <w:tab/>
        <w:t>...</w:t>
      </w:r>
    </w:p>
    <w:p w14:paraId="22C61E38" w14:textId="77777777" w:rsidR="009D62F5" w:rsidRPr="009D62F5" w:rsidRDefault="009D62F5" w:rsidP="009D62F5">
      <w:pPr>
        <w:pStyle w:val="20"/>
        <w:framePr w:w="9701" w:h="14690" w:hRule="exact" w:wrap="none" w:vAnchor="page" w:hAnchor="page" w:x="1419" w:y="1242"/>
        <w:numPr>
          <w:ilvl w:val="0"/>
          <w:numId w:val="4"/>
        </w:numPr>
        <w:shd w:val="clear" w:color="auto" w:fill="auto"/>
        <w:tabs>
          <w:tab w:val="left" w:pos="410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забезпечує достовірність та повноту обліку платників податків та єдиного внеску, суб'єктів зовнішньоекономічної діяльності, об'єктів оподаткування та об'єктів, пов'язаних з оподаткуванням;</w:t>
      </w:r>
    </w:p>
    <w:p w14:paraId="25821679" w14:textId="77777777" w:rsidR="009D62F5" w:rsidRPr="009D62F5" w:rsidRDefault="009D62F5" w:rsidP="009D62F5">
      <w:pPr>
        <w:pStyle w:val="20"/>
        <w:framePr w:w="9701" w:h="14690" w:hRule="exact" w:wrap="none" w:vAnchor="page" w:hAnchor="page" w:x="1419" w:y="1242"/>
        <w:numPr>
          <w:ilvl w:val="0"/>
          <w:numId w:val="4"/>
        </w:numPr>
        <w:shd w:val="clear" w:color="auto" w:fill="auto"/>
        <w:tabs>
          <w:tab w:val="left" w:pos="525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забезпечує ведення обліку податків і зборів, єдиного внеску;</w:t>
      </w:r>
    </w:p>
    <w:p w14:paraId="0AA4E86B" w14:textId="77777777" w:rsidR="009D62F5" w:rsidRPr="009D62F5" w:rsidRDefault="009D62F5" w:rsidP="009D62F5">
      <w:pPr>
        <w:pStyle w:val="20"/>
        <w:framePr w:w="9701" w:h="14690" w:hRule="exact" w:wrap="none" w:vAnchor="page" w:hAnchor="page" w:x="1419" w:y="1242"/>
        <w:numPr>
          <w:ilvl w:val="0"/>
          <w:numId w:val="4"/>
        </w:numPr>
        <w:shd w:val="clear" w:color="auto" w:fill="auto"/>
        <w:tabs>
          <w:tab w:val="left" w:pos="525"/>
        </w:tabs>
        <w:spacing w:after="289" w:line="322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здійснює диференціацію платників податків;</w:t>
      </w:r>
    </w:p>
    <w:p w14:paraId="7374F6C8" w14:textId="77777777" w:rsidR="009D62F5" w:rsidRPr="009D62F5" w:rsidRDefault="009D62F5" w:rsidP="009D62F5">
      <w:pPr>
        <w:pStyle w:val="30"/>
        <w:framePr w:w="9701" w:h="14690" w:hRule="exact" w:wrap="none" w:vAnchor="page" w:hAnchor="page" w:x="1419" w:y="1242"/>
        <w:shd w:val="clear" w:color="auto" w:fill="auto"/>
        <w:spacing w:before="0" w:after="357" w:line="260" w:lineRule="exact"/>
        <w:rPr>
          <w:sz w:val="24"/>
          <w:szCs w:val="24"/>
        </w:rPr>
      </w:pPr>
      <w:r w:rsidRPr="009D62F5">
        <w:rPr>
          <w:sz w:val="24"/>
          <w:szCs w:val="24"/>
        </w:rPr>
        <w:t>Завдання для самостійного вивчення</w:t>
      </w:r>
    </w:p>
    <w:p w14:paraId="692C5369" w14:textId="77777777" w:rsidR="009D62F5" w:rsidRPr="009D62F5" w:rsidRDefault="009D62F5" w:rsidP="009D62F5">
      <w:pPr>
        <w:pStyle w:val="20"/>
        <w:framePr w:w="9701" w:h="14690" w:hRule="exact" w:wrap="none" w:vAnchor="page" w:hAnchor="page" w:x="1419" w:y="1242"/>
        <w:numPr>
          <w:ilvl w:val="0"/>
          <w:numId w:val="5"/>
        </w:numPr>
        <w:shd w:val="clear" w:color="auto" w:fill="auto"/>
        <w:tabs>
          <w:tab w:val="left" w:pos="352"/>
        </w:tabs>
        <w:spacing w:after="0" w:line="260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Права та обов’язки податкових органів.</w:t>
      </w:r>
    </w:p>
    <w:p w14:paraId="6488CD9E" w14:textId="77777777" w:rsidR="009D62F5" w:rsidRPr="009D62F5" w:rsidRDefault="009D62F5" w:rsidP="009D62F5">
      <w:pPr>
        <w:pStyle w:val="20"/>
        <w:framePr w:w="9701" w:h="14690" w:hRule="exact" w:wrap="none" w:vAnchor="page" w:hAnchor="page" w:x="1419" w:y="1242"/>
        <w:numPr>
          <w:ilvl w:val="0"/>
          <w:numId w:val="5"/>
        </w:numPr>
        <w:shd w:val="clear" w:color="auto" w:fill="auto"/>
        <w:tabs>
          <w:tab w:val="left" w:pos="376"/>
        </w:tabs>
        <w:spacing w:after="357" w:line="260" w:lineRule="exact"/>
        <w:ind w:firstLine="0"/>
        <w:jc w:val="both"/>
        <w:rPr>
          <w:sz w:val="24"/>
          <w:szCs w:val="24"/>
        </w:rPr>
      </w:pPr>
      <w:r w:rsidRPr="009D62F5">
        <w:rPr>
          <w:sz w:val="24"/>
          <w:szCs w:val="24"/>
        </w:rPr>
        <w:t>Недоліки організаційної структури податкових органів.</w:t>
      </w:r>
    </w:p>
    <w:p w14:paraId="6F450481" w14:textId="77777777" w:rsidR="009D62F5" w:rsidRPr="009D62F5" w:rsidRDefault="009D62F5" w:rsidP="009D62F5">
      <w:pPr>
        <w:pStyle w:val="30"/>
        <w:framePr w:w="9701" w:h="14690" w:hRule="exact" w:wrap="none" w:vAnchor="page" w:hAnchor="page" w:x="1419" w:y="1242"/>
        <w:shd w:val="clear" w:color="auto" w:fill="auto"/>
        <w:spacing w:before="0" w:after="308" w:line="260" w:lineRule="exact"/>
        <w:ind w:left="3440"/>
        <w:jc w:val="left"/>
        <w:rPr>
          <w:sz w:val="24"/>
          <w:szCs w:val="24"/>
        </w:rPr>
      </w:pPr>
      <w:r w:rsidRPr="009D62F5">
        <w:rPr>
          <w:sz w:val="24"/>
          <w:szCs w:val="24"/>
        </w:rPr>
        <w:t>Рекомендована література</w:t>
      </w:r>
    </w:p>
    <w:p w14:paraId="45CACE76" w14:textId="77777777" w:rsidR="009D62F5" w:rsidRPr="009D62F5" w:rsidRDefault="009D62F5" w:rsidP="009D62F5">
      <w:pPr>
        <w:framePr w:w="9701" w:h="14690" w:hRule="exact" w:wrap="none" w:vAnchor="page" w:hAnchor="page" w:x="1419" w:y="1242"/>
        <w:jc w:val="both"/>
        <w:rPr>
          <w:rFonts w:ascii="Times New Roman" w:hAnsi="Times New Roman" w:cs="Times New Roman"/>
          <w:color w:val="auto"/>
        </w:rPr>
      </w:pPr>
      <w:r w:rsidRPr="009D62F5">
        <w:rPr>
          <w:rFonts w:ascii="Times New Roman" w:hAnsi="Times New Roman" w:cs="Times New Roman"/>
          <w:color w:val="auto"/>
        </w:rPr>
        <w:t>1. Податковий кодекс України : Відомості Верховної Ради України останні зміни від 03.09.2023 № 2755-VI. URL : https://zakon.rada.gov.ua/laws/show/2755-17#Text  (дата звернення: 1.10.2023)</w:t>
      </w:r>
    </w:p>
    <w:p w14:paraId="105F599D" w14:textId="77777777" w:rsidR="009D62F5" w:rsidRPr="009D62F5" w:rsidRDefault="009D62F5" w:rsidP="009D62F5">
      <w:pPr>
        <w:pStyle w:val="30"/>
        <w:framePr w:w="9701" w:h="14690" w:hRule="exact" w:wrap="none" w:vAnchor="page" w:hAnchor="page" w:x="1419" w:y="1242"/>
        <w:shd w:val="clear" w:color="auto" w:fill="auto"/>
        <w:spacing w:before="0" w:after="293" w:line="326" w:lineRule="exact"/>
        <w:rPr>
          <w:sz w:val="24"/>
          <w:szCs w:val="24"/>
        </w:rPr>
      </w:pPr>
    </w:p>
    <w:p w14:paraId="60443EB2" w14:textId="77777777" w:rsidR="00D44549" w:rsidRPr="009D62F5" w:rsidRDefault="00D44549">
      <w:pPr>
        <w:rPr>
          <w:rFonts w:ascii="Times New Roman" w:hAnsi="Times New Roman" w:cs="Times New Roman"/>
        </w:rPr>
      </w:pPr>
    </w:p>
    <w:sectPr w:rsidR="00D44549" w:rsidRPr="009D62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5481"/>
    <w:multiLevelType w:val="multilevel"/>
    <w:tmpl w:val="4CEC87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64855"/>
    <w:multiLevelType w:val="multilevel"/>
    <w:tmpl w:val="74E6F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1F52D6"/>
    <w:multiLevelType w:val="multilevel"/>
    <w:tmpl w:val="58D097C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133A4C"/>
    <w:multiLevelType w:val="multilevel"/>
    <w:tmpl w:val="73841C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AC4B78"/>
    <w:multiLevelType w:val="multilevel"/>
    <w:tmpl w:val="192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00F8E"/>
    <w:multiLevelType w:val="multilevel"/>
    <w:tmpl w:val="E4367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F5"/>
    <w:rsid w:val="005D6A83"/>
    <w:rsid w:val="009D62F5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1D09"/>
  <w15:chartTrackingRefBased/>
  <w15:docId w15:val="{8F546D2A-84CF-4B2F-BDB7-6AAC3280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F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D62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D62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9D62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9D62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62F5"/>
    <w:pPr>
      <w:shd w:val="clear" w:color="auto" w:fill="FFFFFF"/>
      <w:spacing w:after="120" w:line="0" w:lineRule="atLeast"/>
      <w:ind w:hanging="3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9D62F5"/>
    <w:pPr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4">
    <w:name w:val="Колонтитул"/>
    <w:basedOn w:val="a"/>
    <w:link w:val="a3"/>
    <w:rsid w:val="009D62F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9D62F5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No Spacing"/>
    <w:uiPriority w:val="1"/>
    <w:qFormat/>
    <w:rsid w:val="009D6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x.gov.ua/pro-sts-ukraini/struktura/aparat/departament-zapobigannya/" TargetMode="External"/><Relationship Id="rId18" Type="http://schemas.openxmlformats.org/officeDocument/2006/relationships/hyperlink" Target="https://tax.gov.ua/pro-sts-ukraini/struktura/aparat/departament-podatkovih-servisiv/" TargetMode="External"/><Relationship Id="rId26" Type="http://schemas.openxmlformats.org/officeDocument/2006/relationships/hyperlink" Target="https://tax.gov.ua/pro-sts-ukraini/struktura/aparat/departament-transfertnogo-tsinoutvorenn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ax.gov.ua/pro-sts-ukraini/struktura/aparat/departament-mijnarodnogo-spivrobitnitstva/" TargetMode="External"/><Relationship Id="rId7" Type="http://schemas.openxmlformats.org/officeDocument/2006/relationships/hyperlink" Target="https://tax.gov.ua/pro-sts-ukraini/struktura/aparat/departament-vnutrishnogo-auditu/" TargetMode="External"/><Relationship Id="rId12" Type="http://schemas.openxmlformats.org/officeDocument/2006/relationships/hyperlink" Target="https://tax.gov.ua/pro-sts-ukraini/struktura/aparat/departament-podatkovogo-auditu/" TargetMode="External"/><Relationship Id="rId17" Type="http://schemas.openxmlformats.org/officeDocument/2006/relationships/hyperlink" Target="https://tax.gov.ua/pro-sts-ukraini/struktura/aparat/departament-personalu/" TargetMode="External"/><Relationship Id="rId25" Type="http://schemas.openxmlformats.org/officeDocument/2006/relationships/hyperlink" Target="https://tax.gov.ua/pro-sts-ukraini/struktura/aparat/upravlinnya-z-pitan-zapobigannya-ta-viyavlennya-koruptsii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ax.gov.ua/pro-sts-ukraini/struktura/aparat/departament-infrastrukturi-ta-gospodarskogo-zabezpechennya/" TargetMode="External"/><Relationship Id="rId20" Type="http://schemas.openxmlformats.org/officeDocument/2006/relationships/hyperlink" Target="https://tax.gov.ua/pro-sts-ukraini/struktura/aparat/departament-po-roboti-z-podatkovim-borgom/" TargetMode="External"/><Relationship Id="rId29" Type="http://schemas.openxmlformats.org/officeDocument/2006/relationships/hyperlink" Target="https://tax.gov.ua/pro-sts-ukraini/struktura/aparat/rejimno-sekretne-upravlinn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x.gov.ua/pro-sts-ukraini/struktura/aparat/departament-zabezpechennya-vidomchogo-kontrolyu/" TargetMode="External"/><Relationship Id="rId11" Type="http://schemas.openxmlformats.org/officeDocument/2006/relationships/hyperlink" Target="https://tax.gov.ua/pro-sts-ukraini/struktura/aparat/departament-oskarjennya-rishen-kontrolyuyuchih-organiv/" TargetMode="External"/><Relationship Id="rId24" Type="http://schemas.openxmlformats.org/officeDocument/2006/relationships/hyperlink" Target="https://tax.gov.ua/pro-sts-ukraini/struktura/aparat/departament-metodologii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tax.gov.ua/pro-sts-ukraini/struktura/aparat/departament-organizatsii-roboti-slujbi/" TargetMode="External"/><Relationship Id="rId15" Type="http://schemas.openxmlformats.org/officeDocument/2006/relationships/hyperlink" Target="https://tax.gov.ua/pro-sts-ukraini/struktura/aparat/departament-finansovogo-zabezpechennya-ta-buhgalterskogo-obliku/" TargetMode="External"/><Relationship Id="rId23" Type="http://schemas.openxmlformats.org/officeDocument/2006/relationships/hyperlink" Target="https://tax.gov.ua/pro-sts-ukraini/struktura/aparat/departament-ekonomichnogo-analizu/" TargetMode="External"/><Relationship Id="rId28" Type="http://schemas.openxmlformats.org/officeDocument/2006/relationships/hyperlink" Target="https://tax.gov.ua/pro-sts-ukraini/struktura/aparat/mobilizatsiyniy-viddil/" TargetMode="External"/><Relationship Id="rId10" Type="http://schemas.openxmlformats.org/officeDocument/2006/relationships/hyperlink" Target="https://tax.gov.ua/pro-sts-ukraini/struktura/aparat/departament-pravovogo-zabezpechennya/" TargetMode="External"/><Relationship Id="rId19" Type="http://schemas.openxmlformats.org/officeDocument/2006/relationships/hyperlink" Target="https://tax.gov.ua/pro-sts-ukraini/struktura/aparat/departament-informatsiynih-tehnologiy/" TargetMode="External"/><Relationship Id="rId31" Type="http://schemas.openxmlformats.org/officeDocument/2006/relationships/hyperlink" Target="https://tax.gov.ua/pro-sts-ukraini/struktura/aparat/departament-ohoroni-derjavnoi-taemnitsi--tehnichnogo-ta-kriptografichnog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x.gov.ua/pro-sts-ukraini/struktura/aparat/departament-opodatkuvannya-fizichnih-osib/" TargetMode="External"/><Relationship Id="rId14" Type="http://schemas.openxmlformats.org/officeDocument/2006/relationships/hyperlink" Target="https://tax.gov.ua/pro-sts-ukraini/struktura/aparat/departament-kontrolyu-za-pidaktsiznimi-tovarami/" TargetMode="External"/><Relationship Id="rId22" Type="http://schemas.openxmlformats.org/officeDocument/2006/relationships/hyperlink" Target="https://tax.gov.ua/pro-sts-ukraini/struktura/aparat/departament-upravlinnya-rizikami/" TargetMode="External"/><Relationship Id="rId27" Type="http://schemas.openxmlformats.org/officeDocument/2006/relationships/hyperlink" Target="https://tax.gov.ua/pro-sts-ukraini/struktura/aparat/informatsiyno-dovidkoviy-departament/" TargetMode="External"/><Relationship Id="rId30" Type="http://schemas.openxmlformats.org/officeDocument/2006/relationships/hyperlink" Target="https://tax.gov.ua/pro-sts-ukraini/struktura/aparat/upravlinnya-zabezpechennya-zahistu-kritichnoi-infrastrukturi/" TargetMode="External"/><Relationship Id="rId8" Type="http://schemas.openxmlformats.org/officeDocument/2006/relationships/hyperlink" Target="https://tax.gov.ua/pro-sts-ukraini/struktura/aparat/departament-opodatkuvannya-yuridichnih-osib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5845</Words>
  <Characters>3333</Characters>
  <Application>Microsoft Office Word</Application>
  <DocSecurity>0</DocSecurity>
  <Lines>27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2023-12-09T18:51:00Z</dcterms:created>
  <dcterms:modified xsi:type="dcterms:W3CDTF">2023-12-09T18:52:00Z</dcterms:modified>
</cp:coreProperties>
</file>