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FE92" w14:textId="7B5A579A" w:rsidR="00D223ED" w:rsidRPr="00D223ED" w:rsidRDefault="00D223ED" w:rsidP="00D223ED">
      <w:pPr>
        <w:pStyle w:val="150"/>
        <w:framePr w:w="9706" w:h="14400" w:hRule="exact" w:wrap="none" w:vAnchor="page" w:hAnchor="page" w:x="1102" w:y="1107"/>
        <w:shd w:val="clear" w:color="auto" w:fill="auto"/>
        <w:tabs>
          <w:tab w:val="left" w:pos="1190"/>
        </w:tabs>
        <w:spacing w:after="318" w:line="320" w:lineRule="exact"/>
        <w:ind w:firstLine="0"/>
        <w:rPr>
          <w:b/>
          <w:bCs/>
          <w:i w:val="0"/>
          <w:iCs w:val="0"/>
          <w:sz w:val="28"/>
          <w:szCs w:val="28"/>
        </w:rPr>
      </w:pPr>
      <w:r w:rsidRPr="00D223ED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 xml:space="preserve">Лекція 21. </w:t>
      </w:r>
      <w:r w:rsidRPr="00D223ED">
        <w:rPr>
          <w:b/>
          <w:bCs/>
          <w:i w:val="0"/>
          <w:iCs w:val="0"/>
          <w:color w:val="000000"/>
          <w:sz w:val="28"/>
          <w:szCs w:val="28"/>
          <w:lang w:eastAsia="uk-UA" w:bidi="uk-UA"/>
        </w:rPr>
        <w:t>Тренування емоційної компетентності інтелекту</w:t>
      </w:r>
    </w:p>
    <w:p w14:paraId="3B24ED65" w14:textId="77777777" w:rsid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</w:p>
    <w:p w14:paraId="20ED1C9E" w14:textId="77777777" w:rsid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</w:p>
    <w:p w14:paraId="29EF39E0" w14:textId="77777777" w:rsid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</w:p>
    <w:p w14:paraId="6DF68415" w14:textId="77777777" w:rsid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color w:val="000000"/>
          <w:sz w:val="28"/>
          <w:szCs w:val="28"/>
          <w:lang w:eastAsia="uk-UA" w:bidi="uk-UA"/>
        </w:rPr>
      </w:pPr>
    </w:p>
    <w:p w14:paraId="3E05F93C" w14:textId="25361856" w:rsidR="00D223ED" w:rsidRP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Деніел Ґолман довів, що в розвитку гармонійної особистості «емоційна компетентність» відіграє важливішу роль, ніж «академіч</w:t>
      </w:r>
      <w:r w:rsidRPr="00D223ED">
        <w:rPr>
          <w:color w:val="000000"/>
          <w:sz w:val="28"/>
          <w:szCs w:val="28"/>
          <w:lang w:eastAsia="uk-UA" w:bidi="uk-UA"/>
        </w:rPr>
        <w:softHyphen/>
        <w:t>на». Він стверджував, що так зване  тільки на 20% впливає на життєвий успіх, а 80% припадає на інші чинники. До «академічної компетентності» входить коефіцієнт розумового розвитку та спеціальні знання.</w:t>
      </w:r>
    </w:p>
    <w:p w14:paraId="0637569B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Емоційна компетенція є набутою здатністю, в основі якої є емоційний інтелект.</w:t>
      </w:r>
    </w:p>
    <w:p w14:paraId="140229B0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Емоційний інтелект</w:t>
      </w:r>
      <w:r w:rsidRPr="00D223ED">
        <w:rPr>
          <w:color w:val="000000"/>
          <w:sz w:val="28"/>
          <w:szCs w:val="28"/>
          <w:lang w:eastAsia="uk-UA" w:bidi="uk-UA"/>
        </w:rPr>
        <w:t xml:space="preserve"> визначає, наскільки працівники, менеджери здатні засвоїти практичні навики, які грунтуються на п’яти складових:</w:t>
      </w:r>
    </w:p>
    <w:p w14:paraId="32061350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numPr>
          <w:ilvl w:val="0"/>
          <w:numId w:val="4"/>
        </w:numPr>
        <w:shd w:val="clear" w:color="auto" w:fill="auto"/>
        <w:tabs>
          <w:tab w:val="left" w:pos="599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самоусвідомленні;</w:t>
      </w:r>
    </w:p>
    <w:p w14:paraId="2E1FBDC1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numPr>
          <w:ilvl w:val="0"/>
          <w:numId w:val="4"/>
        </w:numPr>
        <w:shd w:val="clear" w:color="auto" w:fill="auto"/>
        <w:tabs>
          <w:tab w:val="left" w:pos="599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мотивації;</w:t>
      </w:r>
    </w:p>
    <w:p w14:paraId="12BF58DA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numPr>
          <w:ilvl w:val="0"/>
          <w:numId w:val="4"/>
        </w:numPr>
        <w:shd w:val="clear" w:color="auto" w:fill="auto"/>
        <w:tabs>
          <w:tab w:val="left" w:pos="599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саморегуляції;</w:t>
      </w:r>
    </w:p>
    <w:p w14:paraId="51C05E76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numPr>
          <w:ilvl w:val="0"/>
          <w:numId w:val="4"/>
        </w:numPr>
        <w:shd w:val="clear" w:color="auto" w:fill="auto"/>
        <w:tabs>
          <w:tab w:val="left" w:pos="599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емпатії - уміння «прочитувати» відчуття інших людей;</w:t>
      </w:r>
    </w:p>
    <w:p w14:paraId="5BF4C8B4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numPr>
          <w:ilvl w:val="0"/>
          <w:numId w:val="4"/>
        </w:numPr>
        <w:shd w:val="clear" w:color="auto" w:fill="auto"/>
        <w:tabs>
          <w:tab w:val="left" w:pos="599"/>
        </w:tabs>
        <w:spacing w:after="0" w:line="365" w:lineRule="exact"/>
        <w:ind w:left="18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мистецтві підтримувати відносини, соціальні навики.</w:t>
      </w:r>
    </w:p>
    <w:p w14:paraId="58C49A8C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Емоційна компетентність засвідчує, наскільки повно особа</w:t>
      </w:r>
    </w:p>
    <w:p w14:paraId="0969E20D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перетворила цей потенціал у здібності, потрібні на робочому місці. Наприклад, уміння добре обслуговувати клієнтів є емоційною компетенцією, яка грунтується на емпатії. Аналогічно надійність - це компетенція, в основу якої покладено саморегулювання або уміння повністю справлятися зі своїми емоціями та речами, які спонукають до дій.</w:t>
      </w:r>
    </w:p>
    <w:p w14:paraId="3E11C37F" w14:textId="77777777" w:rsidR="00D223ED" w:rsidRPr="00D223ED" w:rsidRDefault="00D223ED" w:rsidP="00D223ED">
      <w:pPr>
        <w:pStyle w:val="20"/>
        <w:framePr w:w="9706" w:h="14400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Емоційні компетенції об’єднуються в групи. Основу кожної з них становить загальна головна функціональна можливість емоційного інтелекту. Такий потенціал емоційного інтелекту має життєво важливе значення для людини, яка має намір належно засвоїти</w:t>
      </w:r>
    </w:p>
    <w:p w14:paraId="4A85B082" w14:textId="77777777" w:rsidR="00D223ED" w:rsidRPr="00D223ED" w:rsidRDefault="00D223ED" w:rsidP="00D223ED">
      <w:pPr>
        <w:rPr>
          <w:rFonts w:ascii="Times New Roman" w:hAnsi="Times New Roman" w:cs="Times New Roman"/>
          <w:sz w:val="28"/>
          <w:szCs w:val="28"/>
        </w:rPr>
        <w:sectPr w:rsidR="00D223ED" w:rsidRPr="00D223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9D49D85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lastRenderedPageBreak/>
        <w:t>компетенції, потрібні для досягнення успіху на робочому місці. Наприклад, у випадку недоліку соціальних навиків менеджер не зможе переконувати або надихати інших, очолювати команду або стимулювати зміни. Якщо ж у нього погано з самоусвідомленням, то він не побачить власних недоліків і не матиме належної впевненості в собі, яка народжується з переконаності про власні можливості.</w:t>
      </w:r>
    </w:p>
    <w:p w14:paraId="7CABC191" w14:textId="77777777" w:rsidR="00D223ED" w:rsidRPr="00D223ED" w:rsidRDefault="00D223ED" w:rsidP="00D223ED">
      <w:pPr>
        <w:pStyle w:val="150"/>
        <w:framePr w:w="9706" w:h="14035" w:hRule="exact" w:wrap="none" w:vAnchor="page" w:hAnchor="page" w:x="1102" w:y="1107"/>
        <w:shd w:val="clear" w:color="auto" w:fill="auto"/>
        <w:ind w:left="720" w:firstLine="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Існує така структура емоційної компетентності.</w:t>
      </w:r>
    </w:p>
    <w:p w14:paraId="642DD81A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5"/>
        </w:numPr>
        <w:shd w:val="clear" w:color="auto" w:fill="auto"/>
        <w:tabs>
          <w:tab w:val="left" w:pos="392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Особиста компетентність</w:t>
      </w:r>
      <w:r w:rsidRPr="00D223ED">
        <w:rPr>
          <w:color w:val="000000"/>
          <w:sz w:val="28"/>
          <w:szCs w:val="28"/>
          <w:lang w:eastAsia="uk-UA" w:bidi="uk-UA"/>
        </w:rPr>
        <w:t xml:space="preserve"> визначає уміння справлятися з собою:</w:t>
      </w:r>
    </w:p>
    <w:p w14:paraId="4DC8442C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1"/>
          <w:numId w:val="5"/>
        </w:numPr>
        <w:shd w:val="clear" w:color="auto" w:fill="auto"/>
        <w:tabs>
          <w:tab w:val="left" w:pos="618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Самоусвідомлення -</w:t>
      </w:r>
      <w:r w:rsidRPr="00D223ED">
        <w:rPr>
          <w:color w:val="000000"/>
          <w:sz w:val="28"/>
          <w:szCs w:val="28"/>
          <w:lang w:eastAsia="uk-UA" w:bidi="uk-UA"/>
        </w:rPr>
        <w:t xml:space="preserve"> знання своїх внутрішніх станів, переваг, інтуїтивних уявлень і можливостей.</w:t>
      </w:r>
    </w:p>
    <w:p w14:paraId="16EC26F3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Емоційна обізнаність: усвідомлення своїх емоцій і їхніх наслідків.</w:t>
      </w:r>
    </w:p>
    <w:p w14:paraId="7C9EFF62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2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Самооцінка: знання своїх сильних сторін і можливостей.</w:t>
      </w:r>
    </w:p>
    <w:p w14:paraId="7AB83AE6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Упевненість в собі: тверде відчуття власної цінності та можливостей.</w:t>
      </w:r>
    </w:p>
    <w:p w14:paraId="08B883C4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1"/>
          <w:numId w:val="5"/>
        </w:numPr>
        <w:shd w:val="clear" w:color="auto" w:fill="auto"/>
        <w:tabs>
          <w:tab w:val="left" w:pos="618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Саморегуляція -</w:t>
      </w:r>
      <w:r w:rsidRPr="00D223ED">
        <w:rPr>
          <w:color w:val="000000"/>
          <w:sz w:val="28"/>
          <w:szCs w:val="28"/>
          <w:lang w:eastAsia="uk-UA" w:bidi="uk-UA"/>
        </w:rPr>
        <w:t xml:space="preserve"> вміння розпоряджатися своїми духовними ресурсами, справлятися зі своїми внутрішніми станами і мотиваторами:</w:t>
      </w:r>
    </w:p>
    <w:p w14:paraId="29A3B392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2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самоконтроль: заборона руйнівних емоцій і спонук;</w:t>
      </w:r>
    </w:p>
    <w:p w14:paraId="082CB8D1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надійність і сумлінність: дотримання критеріїв чесності і високих моральних якостей;</w:t>
      </w:r>
    </w:p>
    <w:p w14:paraId="36BAD60F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2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свідомість: готовність нести відповідальність за свою роботу;</w:t>
      </w:r>
    </w:p>
    <w:p w14:paraId="38B2D6C4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2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пристосовність: гнучкий підхід до змін;</w:t>
      </w:r>
    </w:p>
    <w:p w14:paraId="3FE5E476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новаторство: спокійне ставлення до нової інформації, свіжих ідей і підходів до вирішення завдань.</w:t>
      </w:r>
    </w:p>
    <w:p w14:paraId="717A52BD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1"/>
          <w:numId w:val="5"/>
        </w:numPr>
        <w:shd w:val="clear" w:color="auto" w:fill="auto"/>
        <w:tabs>
          <w:tab w:val="left" w:pos="618"/>
        </w:tabs>
        <w:spacing w:after="0" w:line="365" w:lineRule="exact"/>
        <w:ind w:left="600" w:hanging="60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Мотивація -</w:t>
      </w:r>
      <w:r w:rsidRPr="00D223ED">
        <w:rPr>
          <w:color w:val="000000"/>
          <w:sz w:val="28"/>
          <w:szCs w:val="28"/>
          <w:lang w:eastAsia="uk-UA" w:bidi="uk-UA"/>
        </w:rPr>
        <w:t xml:space="preserve"> емоційні схильності, які спрямовують на досягнення цілей і полегшують цей процес:</w:t>
      </w:r>
    </w:p>
    <w:p w14:paraId="7CC50E9F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прагнення до досягнення мети: прагнення до вдосконалення або відповідності критеріям видатної майстерності;</w:t>
      </w:r>
    </w:p>
    <w:p w14:paraId="2ECEF49B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2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відданість: приєднання до цілей групи або організації;</w:t>
      </w:r>
    </w:p>
    <w:p w14:paraId="548AA81D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2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ініціативність: готовність діяти відповідно до можливостей;</w:t>
      </w:r>
    </w:p>
    <w:p w14:paraId="66603726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оптимізм: наполегливість у досягненні цілей, незважаючи на усі перешкоди та невдачі.</w:t>
      </w:r>
    </w:p>
    <w:p w14:paraId="1430AC1C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5"/>
        </w:numPr>
        <w:shd w:val="clear" w:color="auto" w:fill="auto"/>
        <w:tabs>
          <w:tab w:val="left" w:pos="605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Соціальна компетентність -</w:t>
      </w:r>
      <w:r w:rsidRPr="00D223ED">
        <w:rPr>
          <w:color w:val="000000"/>
          <w:sz w:val="28"/>
          <w:szCs w:val="28"/>
          <w:lang w:eastAsia="uk-UA" w:bidi="uk-UA"/>
        </w:rPr>
        <w:t xml:space="preserve"> визначає, наскільки добре особистість уміє регулювати відносини:</w:t>
      </w:r>
    </w:p>
    <w:p w14:paraId="2A4778F4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2.1. Емпатія -</w:t>
      </w:r>
      <w:r w:rsidRPr="00D223ED">
        <w:rPr>
          <w:color w:val="000000"/>
          <w:sz w:val="28"/>
          <w:szCs w:val="28"/>
          <w:lang w:eastAsia="uk-UA" w:bidi="uk-UA"/>
        </w:rPr>
        <w:t xml:space="preserve"> усвідомлення відчуттів, потреб і турбот інших людей.</w:t>
      </w:r>
    </w:p>
    <w:p w14:paraId="12F7E6C2" w14:textId="77777777" w:rsidR="00D223ED" w:rsidRPr="00D223ED" w:rsidRDefault="00D223ED" w:rsidP="00D223ED">
      <w:pPr>
        <w:pStyle w:val="20"/>
        <w:framePr w:w="9706" w:h="14035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365" w:lineRule="exact"/>
        <w:ind w:left="600" w:hanging="360"/>
        <w:jc w:val="left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розуміння інших: сприйняття відчуттів і поглядів інших людей, виявлення зацікавленості до їх справ;</w:t>
      </w:r>
    </w:p>
    <w:p w14:paraId="4B5C6A35" w14:textId="77777777" w:rsidR="00D223ED" w:rsidRPr="00D223ED" w:rsidRDefault="00D223ED" w:rsidP="00D223ED">
      <w:pPr>
        <w:rPr>
          <w:rFonts w:ascii="Times New Roman" w:hAnsi="Times New Roman" w:cs="Times New Roman"/>
          <w:sz w:val="28"/>
          <w:szCs w:val="28"/>
        </w:rPr>
        <w:sectPr w:rsidR="00D223ED" w:rsidRPr="00D223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20A74FC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lastRenderedPageBreak/>
        <w:t>сприяння розвитку інших: розуміння потреб інших людей в розвитку і сприяння розкриттю їхніх здібностей;</w:t>
      </w:r>
    </w:p>
    <w:p w14:paraId="66368B96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орієнтованість на обслуговування інших: уміння передбачати, розпізнавати та задовольняти запити клієнтів;</w:t>
      </w:r>
    </w:p>
    <w:p w14:paraId="5595E17E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використання несхожості як засіб для досягнення мети: створення та використання сприятливих можливостей завдяки різним працівникам;</w:t>
      </w:r>
    </w:p>
    <w:p w14:paraId="71F8941C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політична обізнаність: правильна інтерпретація емоційних потоків і силових взаємин у групі.</w:t>
      </w:r>
    </w:p>
    <w:p w14:paraId="6856E13E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6"/>
        </w:numPr>
        <w:shd w:val="clear" w:color="auto" w:fill="auto"/>
        <w:tabs>
          <w:tab w:val="left" w:pos="615"/>
        </w:tabs>
        <w:spacing w:after="0" w:line="365" w:lineRule="exact"/>
        <w:ind w:firstLine="0"/>
        <w:jc w:val="both"/>
        <w:rPr>
          <w:sz w:val="28"/>
          <w:szCs w:val="28"/>
        </w:rPr>
      </w:pPr>
      <w:r w:rsidRPr="00D223ED">
        <w:rPr>
          <w:rStyle w:val="21"/>
          <w:sz w:val="28"/>
          <w:szCs w:val="28"/>
        </w:rPr>
        <w:t>Соціальні навики -</w:t>
      </w:r>
      <w:r w:rsidRPr="00D223ED">
        <w:rPr>
          <w:color w:val="000000"/>
          <w:sz w:val="28"/>
          <w:szCs w:val="28"/>
          <w:lang w:eastAsia="uk-UA" w:bidi="uk-UA"/>
        </w:rPr>
        <w:t xml:space="preserve"> мистецтво викликати в інших бажану для себе реакцію:</w:t>
      </w:r>
    </w:p>
    <w:p w14:paraId="680BF717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робота впливу: володіння ефективною тактикою переконання;</w:t>
      </w:r>
    </w:p>
    <w:p w14:paraId="2E1318F4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комунікація: уміння слухати без упередження, вміння передавати переконливу інформацію;</w:t>
      </w:r>
    </w:p>
    <w:p w14:paraId="2DB11C30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уміння залагоджувати конфлікти: ведення переговорів і усунення розбіжностей;</w:t>
      </w:r>
    </w:p>
    <w:p w14:paraId="7E932537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лідерство: уміння надихати та вести за собою окремих людей, групи;</w:t>
      </w:r>
    </w:p>
    <w:p w14:paraId="6E07AFA1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«каталізатор» змін: уміння виступати ініціатором змін і управляти ними;</w:t>
      </w:r>
    </w:p>
    <w:p w14:paraId="37E9AF0C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створення зв’язків: налагодження та підтримування корисних взаємовідносин;</w:t>
      </w:r>
    </w:p>
    <w:p w14:paraId="1AED2711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співпраця і взаємодія: уміння працювати з іншими для досягнення загальних цілей;</w:t>
      </w:r>
    </w:p>
    <w:p w14:paraId="17008A80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numPr>
          <w:ilvl w:val="0"/>
          <w:numId w:val="2"/>
        </w:numPr>
        <w:shd w:val="clear" w:color="auto" w:fill="auto"/>
        <w:tabs>
          <w:tab w:val="left" w:pos="594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здатність працювати в команді: створення групової синергії для досягнення колективних цілей.</w:t>
      </w:r>
    </w:p>
    <w:p w14:paraId="0ACE0361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Структура емоційної компетентності виявляє взаємозв’язок між п’ятьма параметрами емоційного інтелекту і двадцятьма п’ятьма емоційними компетенціями. Ніхто не володіє всім цим досконало. На жаль, у кожного менеджера, працівника є лише певний профіль переваг і обмежень.</w:t>
      </w:r>
    </w:p>
    <w:p w14:paraId="1C646087" w14:textId="77777777" w:rsidR="00D223ED" w:rsidRPr="00D223ED" w:rsidRDefault="00D223ED" w:rsidP="00D223ED">
      <w:pPr>
        <w:pStyle w:val="20"/>
        <w:framePr w:w="9706" w:h="13301" w:hRule="exact" w:wrap="none" w:vAnchor="page" w:hAnchor="page" w:x="1102" w:y="1107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Для досягнення видатної майстерності достаньо, щоб особа володіла певним спектром цих компетенцій. Зазвичай людині потрібно мінімум шість таких компетенцій, щоб сильні сторони співвідносилися зі всіма п’ятьма ділянками емоційного інтелекту. Тобто, є багато шляхів для досягнення видатної майстерності.</w:t>
      </w:r>
    </w:p>
    <w:p w14:paraId="51D7EF09" w14:textId="77777777" w:rsidR="00D223ED" w:rsidRPr="00D223ED" w:rsidRDefault="00D223ED" w:rsidP="00D223ED">
      <w:pPr>
        <w:rPr>
          <w:rFonts w:ascii="Times New Roman" w:hAnsi="Times New Roman" w:cs="Times New Roman"/>
          <w:sz w:val="28"/>
          <w:szCs w:val="28"/>
        </w:rPr>
        <w:sectPr w:rsidR="00D223ED" w:rsidRPr="00D223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D5868DA" w14:textId="77777777" w:rsidR="00D223ED" w:rsidRPr="00D223ED" w:rsidRDefault="00D223ED" w:rsidP="00D223ED">
      <w:pPr>
        <w:pStyle w:val="150"/>
        <w:framePr w:w="9701" w:h="14031" w:hRule="exact" w:wrap="none" w:vAnchor="page" w:hAnchor="page" w:x="1104" w:y="1111"/>
        <w:shd w:val="clear" w:color="auto" w:fill="auto"/>
        <w:ind w:firstLine="600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lastRenderedPageBreak/>
        <w:t>Виділяють такі функціональні можливості емоційного інтелекту:</w:t>
      </w:r>
    </w:p>
    <w:p w14:paraId="13BB2434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незалежність: кожна можливість вносить свій особливий внесок до виконання роботи;</w:t>
      </w:r>
    </w:p>
    <w:p w14:paraId="0D688A6D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взаємозалежність: кожен підпитується іншими за допомогою безлічі сильних взаємодій;</w:t>
      </w:r>
    </w:p>
    <w:p w14:paraId="7E933F86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ієрархічність: функціональні можливості емоційного інтелекту опираються один на одного. Самоусвідомлення потрібне для саморегуляції й емпатії, а саморегуляція та самоусвідомлення сприяють мотивації. Водночас усі вони вносять свій внесок до розвитку соціальних навиків;</w:t>
      </w:r>
    </w:p>
    <w:p w14:paraId="71F90644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необхідність, але не достатність: наявність основної здатності емоційного інтелекту не гарантує, що працівники розвинуть або виявлять пов’язані з нею компетенції, наприклад, уміння співпрацювати або лідерство. Такі чинники, як ситуація в організації або зацікавленість працівника у своїй роботі, також визначатимуть, виявиться ця компетенція чи ні;</w:t>
      </w:r>
    </w:p>
    <w:p w14:paraId="79725204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3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загальність: увесь список застосовують до всіх професій. Проте різні професії все ж таки вносять відмінності до вимог - до певних компетенцій.</w:t>
      </w:r>
    </w:p>
    <w:p w14:paraId="31C15246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shd w:val="clear" w:color="auto" w:fill="auto"/>
        <w:spacing w:after="0" w:line="365" w:lineRule="exact"/>
        <w:ind w:firstLine="60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Згаданий перелік дає змогу провести інвентаризацію власних переваг, достоїнств і точно визначити компетенції, які хотілося б закріпити.</w:t>
      </w:r>
    </w:p>
    <w:p w14:paraId="607E13C8" w14:textId="77777777" w:rsidR="00D223ED" w:rsidRPr="00D223ED" w:rsidRDefault="00D223ED" w:rsidP="00D223ED">
      <w:pPr>
        <w:pStyle w:val="150"/>
        <w:framePr w:w="9701" w:h="14031" w:hRule="exact" w:wrap="none" w:vAnchor="page" w:hAnchor="page" w:x="1104" w:y="1111"/>
        <w:shd w:val="clear" w:color="auto" w:fill="auto"/>
        <w:ind w:firstLine="600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Варто виділити такі принципи тренінгу емоційного інтелекту.</w:t>
      </w:r>
    </w:p>
    <w:p w14:paraId="5FC9BD04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Оцінювання завдання. Навчання має зосереджуватись на компетенціях, максимально потрібних для відмінного виконання завдання або ролі.</w:t>
      </w:r>
    </w:p>
    <w:p w14:paraId="596528BB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Оцінювання індивідуума. Треба оцінити профіль переваг і недоліків учасника тренінгу, щоб визначити, що саме потрібно поліпшити.</w:t>
      </w:r>
    </w:p>
    <w:p w14:paraId="18D86574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Обережне висловлювання оцінки. Зворотний зв’язок, який стосується сильних і слабких сторін учасників тренінгу, завжди має емоційний заряд.</w:t>
      </w:r>
    </w:p>
    <w:p w14:paraId="40B8CC9C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Перевірка готовності. У працівників зазвичай різний рівень готовності.</w:t>
      </w:r>
    </w:p>
    <w:p w14:paraId="0C8E62BA" w14:textId="77777777" w:rsidR="00D223ED" w:rsidRPr="00D223ED" w:rsidRDefault="00D223ED" w:rsidP="00D223ED">
      <w:pPr>
        <w:pStyle w:val="20"/>
        <w:framePr w:w="9701" w:h="14031" w:hRule="exact" w:wrap="none" w:vAnchor="page" w:hAnchor="page" w:x="1104" w:y="1111"/>
        <w:numPr>
          <w:ilvl w:val="0"/>
          <w:numId w:val="7"/>
        </w:numPr>
        <w:shd w:val="clear" w:color="auto" w:fill="auto"/>
        <w:tabs>
          <w:tab w:val="left" w:pos="596"/>
        </w:tabs>
        <w:spacing w:after="0" w:line="365" w:lineRule="exact"/>
        <w:ind w:left="600" w:hanging="42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Мотивування. Працівники навчаються до того ступеня, який продиктований їхньою мотивацією, наприклад, усвідомлюючи, що яка-небудь компетенція важлива для хорошого виконання</w:t>
      </w:r>
    </w:p>
    <w:p w14:paraId="4D6E3C2E" w14:textId="77777777" w:rsidR="00D223ED" w:rsidRPr="00D223ED" w:rsidRDefault="00D223ED" w:rsidP="00D223ED">
      <w:pPr>
        <w:rPr>
          <w:rFonts w:ascii="Times New Roman" w:hAnsi="Times New Roman" w:cs="Times New Roman"/>
          <w:sz w:val="28"/>
          <w:szCs w:val="28"/>
        </w:rPr>
        <w:sectPr w:rsidR="00D223ED" w:rsidRPr="00D223E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1B5535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shd w:val="clear" w:color="auto" w:fill="auto"/>
        <w:spacing w:after="0" w:line="365" w:lineRule="exact"/>
        <w:ind w:left="440" w:firstLine="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lastRenderedPageBreak/>
        <w:t>завдання, і перетворюючи цю компетенцію на особисту мету ради змін.</w:t>
      </w:r>
    </w:p>
    <w:p w14:paraId="37A0C5CB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02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Намагатись, щоб зміни були самонаправленими. Коли учасники тренінгу вибирають навчальні програми, пристосовувавши їх до своїх потреб, обставин і мотивації, процес навчання стає ефективнішим.</w:t>
      </w:r>
    </w:p>
    <w:p w14:paraId="2DD0DA09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02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Сфокусування працівників на чітких, досяжних цілях. Працівники повинні мати чітке уявлення про конкретну компетенцію та кроки, необхідні для її розвитку.</w:t>
      </w:r>
    </w:p>
    <w:p w14:paraId="40494437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02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Недопускання повернення до старого. Звички змінюються малими темпами, тому рецидиви та випадкові помилки не обов’язково сигналізують про поразку.</w:t>
      </w:r>
    </w:p>
    <w:p w14:paraId="55CACD9E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02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Формування зворотного зв’язку. Постійний зворотний зв’язок підбадьорює працівників і сприяє безпосереднім змінам.</w:t>
      </w:r>
    </w:p>
    <w:p w14:paraId="603F05DB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Заохочування до застосування засвоєного матеріалу на практиці. Щоб зміни були стійкими, потрібна безперервна практика на роботі та поза нею.</w:t>
      </w:r>
    </w:p>
    <w:p w14:paraId="6CD08C21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Організування підтримки. Працівники, які дотримуються таких самих поглядів прагнуть до аналогічних змін, здатні постійно надавати підтримку.</w:t>
      </w:r>
    </w:p>
    <w:p w14:paraId="179CCB92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Забезпечування моделями поведінки. Успішна людина, яка має високий статус і є еталоном певної компетенції, може стати ідеалом, який надихає на зміни.</w:t>
      </w:r>
    </w:p>
    <w:p w14:paraId="753A63FF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Створення творчої атмосфери. Зміни будуть суттєвішими, якщо їм сприяє ситуація в організації, де цінують компетенції і створюють сприятливі умови для експериментів.</w:t>
      </w:r>
    </w:p>
    <w:p w14:paraId="5C1B242C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Закріплювання змін. Працівники потребують визнання; їм треба відчувати, що їхні зусилля щодо змін приносять реальні результати.</w:t>
      </w:r>
    </w:p>
    <w:p w14:paraId="1847939D" w14:textId="77777777" w:rsidR="00D223ED" w:rsidRPr="00D223ED" w:rsidRDefault="00D223ED" w:rsidP="00D223ED">
      <w:pPr>
        <w:pStyle w:val="20"/>
        <w:framePr w:w="9547" w:h="11827" w:hRule="exact" w:wrap="none" w:vAnchor="page" w:hAnchor="page" w:x="1181" w:y="1107"/>
        <w:numPr>
          <w:ilvl w:val="0"/>
          <w:numId w:val="7"/>
        </w:numPr>
        <w:shd w:val="clear" w:color="auto" w:fill="auto"/>
        <w:tabs>
          <w:tab w:val="left" w:pos="490"/>
        </w:tabs>
        <w:spacing w:after="0" w:line="365" w:lineRule="exact"/>
        <w:ind w:left="440" w:hanging="440"/>
        <w:jc w:val="both"/>
        <w:rPr>
          <w:sz w:val="28"/>
          <w:szCs w:val="28"/>
        </w:rPr>
      </w:pPr>
      <w:r w:rsidRPr="00D223ED">
        <w:rPr>
          <w:color w:val="000000"/>
          <w:sz w:val="28"/>
          <w:szCs w:val="28"/>
          <w:lang w:eastAsia="uk-UA" w:bidi="uk-UA"/>
        </w:rPr>
        <w:t>Оцінювання. Треба ретельно вибирати методи оцінювання зусиль, що спрямовані на розвиток, щоб з’ясувати, чи приносять вони довгострокові результати.</w:t>
      </w:r>
    </w:p>
    <w:p w14:paraId="355AB358" w14:textId="77777777" w:rsidR="00D44549" w:rsidRPr="00D223ED" w:rsidRDefault="00D44549">
      <w:pPr>
        <w:rPr>
          <w:rFonts w:ascii="Times New Roman" w:hAnsi="Times New Roman" w:cs="Times New Roman"/>
          <w:sz w:val="28"/>
          <w:szCs w:val="28"/>
        </w:rPr>
      </w:pPr>
    </w:p>
    <w:sectPr w:rsidR="00D44549" w:rsidRPr="00D223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D281B"/>
    <w:multiLevelType w:val="multilevel"/>
    <w:tmpl w:val="B164CC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0662EB"/>
    <w:multiLevelType w:val="multilevel"/>
    <w:tmpl w:val="53266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B37A3"/>
    <w:multiLevelType w:val="multilevel"/>
    <w:tmpl w:val="695C6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6A714A"/>
    <w:multiLevelType w:val="multilevel"/>
    <w:tmpl w:val="CB32E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2D3F86"/>
    <w:multiLevelType w:val="multilevel"/>
    <w:tmpl w:val="734EEF2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6C7614"/>
    <w:multiLevelType w:val="multilevel"/>
    <w:tmpl w:val="5E72C4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683C25"/>
    <w:multiLevelType w:val="multilevel"/>
    <w:tmpl w:val="374CD53A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ED"/>
    <w:rsid w:val="005D6A83"/>
    <w:rsid w:val="00BE0DD3"/>
    <w:rsid w:val="00CE3645"/>
    <w:rsid w:val="00D223ED"/>
    <w:rsid w:val="00D4344A"/>
    <w:rsid w:val="00D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94258"/>
  <w15:chartTrackingRefBased/>
  <w15:docId w15:val="{AB71D1DC-67B1-4557-897C-C715BB2D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E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D223E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223E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 + Курсив"/>
    <w:basedOn w:val="2"/>
    <w:rsid w:val="00D223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15">
    <w:name w:val="Основной текст (15)_"/>
    <w:basedOn w:val="a0"/>
    <w:link w:val="150"/>
    <w:rsid w:val="00D223ED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paragraph" w:customStyle="1" w:styleId="a4">
    <w:name w:val="Колонтитул"/>
    <w:basedOn w:val="a"/>
    <w:link w:val="a3"/>
    <w:rsid w:val="00D223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D223ED"/>
    <w:pPr>
      <w:shd w:val="clear" w:color="auto" w:fill="FFFFFF"/>
      <w:spacing w:after="4200" w:line="370" w:lineRule="exact"/>
      <w:ind w:hanging="5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150">
    <w:name w:val="Основной текст (15)"/>
    <w:basedOn w:val="a"/>
    <w:link w:val="15"/>
    <w:rsid w:val="00D223ED"/>
    <w:pPr>
      <w:shd w:val="clear" w:color="auto" w:fill="FFFFFF"/>
      <w:spacing w:line="365" w:lineRule="exact"/>
      <w:ind w:firstLine="520"/>
      <w:jc w:val="both"/>
    </w:pPr>
    <w:rPr>
      <w:rFonts w:ascii="Times New Roman" w:eastAsia="Times New Roman" w:hAnsi="Times New Roman" w:cs="Times New Roman"/>
      <w:i/>
      <w:i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5314</Words>
  <Characters>3029</Characters>
  <Application>Microsoft Office Word</Application>
  <DocSecurity>0</DocSecurity>
  <Lines>25</Lines>
  <Paragraphs>16</Paragraphs>
  <ScaleCrop>false</ScaleCrop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2</cp:revision>
  <dcterms:created xsi:type="dcterms:W3CDTF">2023-12-03T22:25:00Z</dcterms:created>
  <dcterms:modified xsi:type="dcterms:W3CDTF">2023-12-03T22:26:00Z</dcterms:modified>
</cp:coreProperties>
</file>