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B93A6" w14:textId="77777777" w:rsidR="002D3E10" w:rsidRDefault="002D3E10" w:rsidP="002D3E10">
      <w:pPr>
        <w:pStyle w:val="Normal"/>
        <w:spacing w:after="0" w:line="360" w:lineRule="auto"/>
        <w:ind w:firstLine="709"/>
        <w:jc w:val="center"/>
        <w:rPr>
          <w:rFonts w:ascii="Times New Roman" w:eastAsia="Calibri" w:hAnsi="Times New Roman"/>
          <w:b/>
          <w:bCs/>
          <w:sz w:val="32"/>
          <w:szCs w:val="32"/>
        </w:rPr>
      </w:pPr>
      <w:r>
        <w:rPr>
          <w:rFonts w:ascii="Times New Roman" w:eastAsia="Calibri" w:hAnsi="Times New Roman"/>
          <w:b/>
          <w:bCs/>
          <w:sz w:val="32"/>
          <w:szCs w:val="32"/>
        </w:rPr>
        <w:t>Тема 10: Господарсько-правова відповідальність</w:t>
      </w:r>
    </w:p>
    <w:p w14:paraId="281C05A6" w14:textId="77777777" w:rsidR="002D3E10" w:rsidRDefault="002D3E10" w:rsidP="002D3E10">
      <w:pPr>
        <w:pStyle w:val="Normal"/>
        <w:spacing w:after="0" w:line="360" w:lineRule="auto"/>
        <w:ind w:firstLine="709"/>
        <w:jc w:val="center"/>
        <w:rPr>
          <w:rFonts w:ascii="Times New Roman" w:eastAsia="Calibri" w:hAnsi="Times New Roman"/>
          <w:b/>
          <w:bCs/>
          <w:sz w:val="32"/>
          <w:szCs w:val="32"/>
        </w:rPr>
      </w:pPr>
      <w:r>
        <w:rPr>
          <w:rFonts w:ascii="Times New Roman" w:eastAsia="Calibri" w:hAnsi="Times New Roman"/>
          <w:b/>
          <w:bCs/>
          <w:sz w:val="32"/>
          <w:szCs w:val="32"/>
        </w:rPr>
        <w:t>План</w:t>
      </w:r>
    </w:p>
    <w:p w14:paraId="56116993" w14:textId="77777777" w:rsidR="002D3E10" w:rsidRDefault="002D3E10" w:rsidP="002D3E10">
      <w:pPr>
        <w:pStyle w:val="ListParagraph"/>
        <w:numPr>
          <w:ilvl w:val="0"/>
          <w:numId w:val="1"/>
        </w:numPr>
        <w:spacing w:after="0" w:line="360" w:lineRule="auto"/>
        <w:ind w:left="0" w:firstLine="709"/>
        <w:rPr>
          <w:rFonts w:ascii="Times New Roman" w:eastAsia="Calibri" w:hAnsi="Times New Roman"/>
          <w:b/>
          <w:bCs/>
          <w:sz w:val="28"/>
          <w:szCs w:val="28"/>
        </w:rPr>
      </w:pPr>
      <w:r>
        <w:rPr>
          <w:rFonts w:ascii="Times New Roman" w:eastAsia="Calibri" w:hAnsi="Times New Roman"/>
          <w:b/>
          <w:bCs/>
          <w:sz w:val="28"/>
          <w:szCs w:val="28"/>
        </w:rPr>
        <w:t>Поняття та особливості господарсько-правової відповідальності.</w:t>
      </w:r>
    </w:p>
    <w:p w14:paraId="750C160C" w14:textId="77777777" w:rsidR="002D3E10" w:rsidRDefault="002D3E10" w:rsidP="002D3E10">
      <w:pPr>
        <w:pStyle w:val="ListParagraph"/>
        <w:numPr>
          <w:ilvl w:val="0"/>
          <w:numId w:val="1"/>
        </w:numPr>
        <w:spacing w:after="0" w:line="360" w:lineRule="auto"/>
        <w:ind w:left="0" w:firstLine="709"/>
        <w:rPr>
          <w:rFonts w:ascii="Times New Roman" w:eastAsia="Calibri" w:hAnsi="Times New Roman"/>
          <w:b/>
          <w:bCs/>
          <w:sz w:val="28"/>
          <w:szCs w:val="28"/>
        </w:rPr>
      </w:pPr>
      <w:r>
        <w:rPr>
          <w:rFonts w:ascii="Times New Roman" w:eastAsia="Calibri" w:hAnsi="Times New Roman"/>
          <w:b/>
          <w:bCs/>
          <w:sz w:val="28"/>
          <w:szCs w:val="28"/>
        </w:rPr>
        <w:t>Види санкцій в господарській галузі права.</w:t>
      </w:r>
    </w:p>
    <w:p w14:paraId="6BB6CEE8" w14:textId="77777777" w:rsidR="002D3E10" w:rsidRDefault="002D3E10" w:rsidP="002D3E10">
      <w:pPr>
        <w:pStyle w:val="ListParagraph"/>
        <w:numPr>
          <w:ilvl w:val="0"/>
          <w:numId w:val="2"/>
        </w:numPr>
        <w:spacing w:after="0" w:line="360" w:lineRule="auto"/>
        <w:ind w:left="0" w:firstLine="709"/>
        <w:jc w:val="center"/>
        <w:rPr>
          <w:rFonts w:ascii="Times New Roman" w:eastAsia="Calibri" w:hAnsi="Times New Roman"/>
          <w:sz w:val="36"/>
          <w:szCs w:val="36"/>
        </w:rPr>
      </w:pPr>
      <w:r>
        <w:rPr>
          <w:rFonts w:ascii="Times New Roman" w:eastAsia="Calibri" w:hAnsi="Times New Roman"/>
          <w:b/>
          <w:bCs/>
          <w:sz w:val="32"/>
          <w:szCs w:val="32"/>
        </w:rPr>
        <w:t>Поняття та особливості господарсько-правової відповідальності</w:t>
      </w:r>
    </w:p>
    <w:p w14:paraId="5F2C808F" w14:textId="77777777" w:rsidR="002D3E10" w:rsidRDefault="002D3E10" w:rsidP="002D3E10">
      <w:pPr>
        <w:pStyle w:val="NormalWeb"/>
        <w:spacing w:before="0" w:beforeAutospacing="0" w:after="0" w:afterAutospacing="0" w:line="360" w:lineRule="auto"/>
        <w:ind w:firstLine="709"/>
        <w:rPr>
          <w:b/>
          <w:bCs/>
          <w:color w:val="000000"/>
          <w:sz w:val="28"/>
          <w:szCs w:val="28"/>
        </w:rPr>
      </w:pPr>
      <w:r>
        <w:rPr>
          <w:b/>
          <w:bCs/>
          <w:color w:val="000000"/>
          <w:sz w:val="28"/>
          <w:szCs w:val="28"/>
        </w:rPr>
        <w:t>Господарсько-правова відповідальність є комплексним правовим інститутом господарського права, предметом регулювання якого є господарські правопорушення.</w:t>
      </w:r>
    </w:p>
    <w:p w14:paraId="494CC58A" w14:textId="77777777" w:rsidR="002D3E10" w:rsidRDefault="002D3E10" w:rsidP="002D3E10">
      <w:pPr>
        <w:pStyle w:val="NormalWeb"/>
        <w:spacing w:before="0" w:beforeAutospacing="0" w:after="0" w:afterAutospacing="0" w:line="360" w:lineRule="auto"/>
        <w:ind w:firstLine="709"/>
        <w:rPr>
          <w:color w:val="000000"/>
          <w:sz w:val="28"/>
          <w:szCs w:val="28"/>
        </w:rPr>
      </w:pPr>
      <w:r>
        <w:rPr>
          <w:color w:val="000000"/>
          <w:sz w:val="28"/>
          <w:szCs w:val="28"/>
        </w:rPr>
        <w:t>Господарсько-правова відповідальність може бути визначена як правовідносини, які виникають внаслідок вчинення господарського правопорушення між суб’єктами господарювання або між суб’єктом господарювання та органом державної влади чи органом місцевого самоврядування, в результаті чого суб’єкт господарювання, винний у вчиненні правопорушення зазнає несприятливих наслідків майнового або організаційного характеру, які передбачені господарсько-правовими санкціями.</w:t>
      </w:r>
    </w:p>
    <w:p w14:paraId="214325F0" w14:textId="77777777" w:rsidR="002D3E10" w:rsidRDefault="002D3E10" w:rsidP="002D3E10">
      <w:pPr>
        <w:pStyle w:val="NormalWeb"/>
        <w:spacing w:before="0" w:beforeAutospacing="0" w:after="0" w:afterAutospacing="0" w:line="360" w:lineRule="auto"/>
        <w:ind w:firstLine="709"/>
        <w:rPr>
          <w:color w:val="000000"/>
          <w:sz w:val="28"/>
          <w:szCs w:val="28"/>
        </w:rPr>
      </w:pPr>
      <w:r>
        <w:rPr>
          <w:color w:val="000000"/>
          <w:sz w:val="28"/>
          <w:szCs w:val="28"/>
        </w:rPr>
        <w:t>Застосування господарських санкцій повинно гарантувати захист прав і законних інтересів громадян, організацій та держави, в тому числі відшкодування збитків учасникам господарських відносин, завданих внаслідок правопорушення, та забезпечувати правопорядок у сфері господарювання (ч. 2 ст. 216 ГК).</w:t>
      </w:r>
    </w:p>
    <w:p w14:paraId="281323C2" w14:textId="77777777" w:rsidR="002D3E10" w:rsidRDefault="002D3E10" w:rsidP="002D3E10">
      <w:pPr>
        <w:pStyle w:val="NormalWeb"/>
        <w:spacing w:before="0" w:beforeAutospacing="0" w:after="0" w:afterAutospacing="0" w:line="360" w:lineRule="auto"/>
        <w:ind w:firstLine="709"/>
        <w:rPr>
          <w:color w:val="000000"/>
          <w:sz w:val="28"/>
          <w:szCs w:val="28"/>
        </w:rPr>
      </w:pPr>
      <w:r>
        <w:rPr>
          <w:color w:val="000000"/>
          <w:sz w:val="28"/>
          <w:szCs w:val="28"/>
        </w:rPr>
        <w:t>Таким чином, господарсько-правова відповідальність покликана стимулювати належне виконання учасниками господарських відносин господарських зобов’язань. Її головною метою є забезпечення правопорядку в сфері економіки (в господарських відносинах).</w:t>
      </w:r>
    </w:p>
    <w:p w14:paraId="014F8C77" w14:textId="77777777" w:rsidR="002D3E10" w:rsidRDefault="002D3E10" w:rsidP="002D3E10">
      <w:pPr>
        <w:pStyle w:val="NormalWeb"/>
        <w:spacing w:before="0" w:beforeAutospacing="0" w:after="0" w:afterAutospacing="0" w:line="360" w:lineRule="auto"/>
        <w:ind w:firstLine="709"/>
        <w:rPr>
          <w:color w:val="000000"/>
          <w:sz w:val="28"/>
          <w:szCs w:val="28"/>
        </w:rPr>
      </w:pPr>
      <w:r>
        <w:rPr>
          <w:color w:val="000000"/>
          <w:sz w:val="28"/>
          <w:szCs w:val="28"/>
        </w:rPr>
        <w:t xml:space="preserve"> </w:t>
      </w:r>
    </w:p>
    <w:p w14:paraId="63CC738A" w14:textId="77777777" w:rsidR="002D3E10" w:rsidRDefault="002D3E10" w:rsidP="002D3E10">
      <w:pPr>
        <w:pStyle w:val="NormalWeb"/>
        <w:spacing w:before="0" w:beforeAutospacing="0" w:after="0" w:afterAutospacing="0" w:line="360" w:lineRule="auto"/>
        <w:ind w:firstLine="709"/>
        <w:rPr>
          <w:color w:val="000000"/>
          <w:sz w:val="28"/>
          <w:szCs w:val="28"/>
        </w:rPr>
      </w:pPr>
      <w:r>
        <w:rPr>
          <w:color w:val="000000"/>
          <w:sz w:val="28"/>
          <w:szCs w:val="28"/>
        </w:rPr>
        <w:t xml:space="preserve"> </w:t>
      </w:r>
    </w:p>
    <w:p w14:paraId="35796BD2" w14:textId="77777777" w:rsidR="002D3E10" w:rsidRDefault="002D3E10" w:rsidP="002D3E10">
      <w:pPr>
        <w:pStyle w:val="Normal"/>
        <w:spacing w:after="0" w:line="360" w:lineRule="auto"/>
        <w:ind w:firstLine="709"/>
        <w:rPr>
          <w:rFonts w:ascii="Times New Roman" w:eastAsia="Calibri" w:hAnsi="Times New Roman"/>
          <w:sz w:val="28"/>
          <w:szCs w:val="28"/>
        </w:rPr>
      </w:pPr>
      <w:r>
        <w:rPr>
          <w:rFonts w:ascii="Times New Roman" w:eastAsia="Calibri" w:hAnsi="Times New Roman"/>
          <w:b/>
          <w:bCs/>
          <w:sz w:val="28"/>
          <w:szCs w:val="28"/>
        </w:rPr>
        <w:t>Основні особливості господарсько-правової відповідальності:</w:t>
      </w:r>
    </w:p>
    <w:p w14:paraId="0E2A31CE" w14:textId="77777777" w:rsidR="002D3E10" w:rsidRDefault="002D3E10" w:rsidP="002D3E10">
      <w:pPr>
        <w:pStyle w:val="Normal"/>
        <w:spacing w:after="0" w:line="360" w:lineRule="auto"/>
        <w:ind w:firstLine="709"/>
        <w:rPr>
          <w:rFonts w:ascii="Times New Roman" w:eastAsia="Calibri" w:hAnsi="Times New Roman"/>
          <w:sz w:val="28"/>
          <w:szCs w:val="28"/>
        </w:rPr>
      </w:pPr>
      <w:r>
        <w:rPr>
          <w:rFonts w:ascii="Times New Roman" w:eastAsia="Calibri" w:hAnsi="Times New Roman"/>
          <w:b/>
          <w:bCs/>
          <w:sz w:val="28"/>
          <w:szCs w:val="28"/>
        </w:rPr>
        <w:lastRenderedPageBreak/>
        <w:t>1.1. Суб'єкти:</w:t>
      </w:r>
      <w:r>
        <w:rPr>
          <w:rFonts w:ascii="Times New Roman" w:eastAsia="Calibri" w:hAnsi="Times New Roman"/>
          <w:sz w:val="28"/>
          <w:szCs w:val="28"/>
        </w:rPr>
        <w:t xml:space="preserve"> Господарську відповідальність можуть нести різні суб'єкти господарювання, що включає підприємства, підприємців, організації та інші юридичні особи, які здійснюють господарську діяльність. Ці суб'єкти є відповідальними за додержання господарського законодавства та виконання господарських договорів.</w:t>
      </w:r>
    </w:p>
    <w:p w14:paraId="03C56F80" w14:textId="77777777" w:rsidR="002D3E10" w:rsidRDefault="002D3E10" w:rsidP="002D3E10">
      <w:pPr>
        <w:pStyle w:val="Normal"/>
        <w:spacing w:after="0" w:line="360" w:lineRule="auto"/>
        <w:ind w:firstLine="709"/>
        <w:rPr>
          <w:rFonts w:ascii="Times New Roman" w:eastAsia="Calibri" w:hAnsi="Times New Roman"/>
          <w:sz w:val="28"/>
          <w:szCs w:val="28"/>
        </w:rPr>
      </w:pPr>
      <w:r>
        <w:rPr>
          <w:rFonts w:ascii="Times New Roman" w:eastAsia="Calibri" w:hAnsi="Times New Roman"/>
          <w:b/>
          <w:bCs/>
          <w:sz w:val="28"/>
          <w:szCs w:val="28"/>
        </w:rPr>
        <w:t>1.2. Підстави:</w:t>
      </w:r>
      <w:r>
        <w:rPr>
          <w:rFonts w:ascii="Times New Roman" w:eastAsia="Calibri" w:hAnsi="Times New Roman"/>
          <w:sz w:val="28"/>
          <w:szCs w:val="28"/>
        </w:rPr>
        <w:t xml:space="preserve"> Господарська відповідальність виникає внаслідок порушення господарського законодавства, укладення та невиконання господарських договорів, а також інших нормативно-правових актів, що регулюють господарську діяльність. Це може охоплювати невиконання зобов'язань, порушення конкурентного законодавства, фінансові маніпуляції та інші правопорушення.</w:t>
      </w:r>
    </w:p>
    <w:p w14:paraId="485335CD" w14:textId="77777777" w:rsidR="002D3E10" w:rsidRDefault="002D3E10" w:rsidP="002D3E10">
      <w:pPr>
        <w:pStyle w:val="Normal"/>
        <w:spacing w:after="0" w:line="360" w:lineRule="auto"/>
        <w:ind w:firstLine="709"/>
        <w:rPr>
          <w:rFonts w:ascii="Times New Roman" w:eastAsia="Calibri" w:hAnsi="Times New Roman"/>
          <w:sz w:val="28"/>
          <w:szCs w:val="28"/>
        </w:rPr>
      </w:pPr>
      <w:r>
        <w:rPr>
          <w:rFonts w:ascii="Times New Roman" w:eastAsia="Calibri" w:hAnsi="Times New Roman"/>
          <w:b/>
          <w:bCs/>
          <w:sz w:val="28"/>
          <w:szCs w:val="28"/>
        </w:rPr>
        <w:t>1.3. Заходи:</w:t>
      </w:r>
      <w:r>
        <w:rPr>
          <w:rFonts w:ascii="Times New Roman" w:eastAsia="Calibri" w:hAnsi="Times New Roman"/>
          <w:sz w:val="28"/>
          <w:szCs w:val="28"/>
        </w:rPr>
        <w:t xml:space="preserve"> Господарська відповідальність спрямована на відновлення порушених правопорядку господарських відносин. Заходи можуть бути штрафні санкції, конфіскація майна, призупинення діяльності тощо. Вони вживаються для покарання порушників та запобігання подібним порушенням у майбутньому.</w:t>
      </w:r>
    </w:p>
    <w:p w14:paraId="3B43CB12" w14:textId="77777777" w:rsidR="002D3E10" w:rsidRDefault="002D3E10" w:rsidP="002D3E10">
      <w:pPr>
        <w:pStyle w:val="Normal"/>
        <w:spacing w:after="0" w:line="360" w:lineRule="auto"/>
        <w:ind w:firstLine="709"/>
        <w:rPr>
          <w:rFonts w:ascii="Times New Roman" w:eastAsia="Calibri" w:hAnsi="Times New Roman"/>
          <w:sz w:val="28"/>
          <w:szCs w:val="28"/>
        </w:rPr>
      </w:pPr>
      <w:r>
        <w:rPr>
          <w:rFonts w:ascii="Times New Roman" w:eastAsia="Calibri" w:hAnsi="Times New Roman"/>
          <w:b/>
          <w:bCs/>
          <w:sz w:val="28"/>
          <w:szCs w:val="28"/>
        </w:rPr>
        <w:t>1.4. Мета:</w:t>
      </w:r>
      <w:r>
        <w:rPr>
          <w:rFonts w:ascii="Times New Roman" w:eastAsia="Calibri" w:hAnsi="Times New Roman"/>
          <w:sz w:val="28"/>
          <w:szCs w:val="28"/>
        </w:rPr>
        <w:t xml:space="preserve"> Основною метою господарсько-правової відповідальності є забезпечення додержання правил та створення умов для ефективної господарської діяльності. Це сприяє створенню </w:t>
      </w:r>
      <w:proofErr w:type="spellStart"/>
      <w:r>
        <w:rPr>
          <w:rFonts w:ascii="Times New Roman" w:eastAsia="Calibri" w:hAnsi="Times New Roman"/>
          <w:sz w:val="28"/>
          <w:szCs w:val="28"/>
        </w:rPr>
        <w:t>конкурентноспроможного</w:t>
      </w:r>
      <w:proofErr w:type="spellEnd"/>
      <w:r>
        <w:rPr>
          <w:rFonts w:ascii="Times New Roman" w:eastAsia="Calibri" w:hAnsi="Times New Roman"/>
          <w:sz w:val="28"/>
          <w:szCs w:val="28"/>
        </w:rPr>
        <w:t xml:space="preserve"> та чесного бізнес-середовища.</w:t>
      </w:r>
    </w:p>
    <w:p w14:paraId="32D243F6" w14:textId="77777777" w:rsidR="002D3E10" w:rsidRDefault="002D3E10" w:rsidP="002D3E10">
      <w:pPr>
        <w:pStyle w:val="Normal"/>
        <w:spacing w:after="0" w:line="360" w:lineRule="auto"/>
        <w:ind w:firstLine="709"/>
        <w:rPr>
          <w:rFonts w:ascii="Times New Roman" w:eastAsia="Calibri" w:hAnsi="Times New Roman"/>
          <w:sz w:val="28"/>
          <w:szCs w:val="28"/>
        </w:rPr>
      </w:pPr>
      <w:r>
        <w:rPr>
          <w:rFonts w:ascii="Times New Roman" w:eastAsia="Calibri" w:hAnsi="Times New Roman"/>
          <w:b/>
          <w:bCs/>
          <w:sz w:val="28"/>
          <w:szCs w:val="28"/>
        </w:rPr>
        <w:t>1.5. Процедури вирішення:</w:t>
      </w:r>
      <w:r>
        <w:rPr>
          <w:rFonts w:ascii="Times New Roman" w:eastAsia="Calibri" w:hAnsi="Times New Roman"/>
          <w:sz w:val="28"/>
          <w:szCs w:val="28"/>
        </w:rPr>
        <w:t xml:space="preserve"> Господарська відповідальність може підлягати вирішенню у судовому порядку чи за допомогою адміністративних процедур, визначених господарським законодавством. Судові рішення часто використовуються для вирішення складних справ, тоді як адміністративні процедури можуть бути застосовані для швидкого та ефективного вирішення питань господарської відповідальності.</w:t>
      </w:r>
    </w:p>
    <w:p w14:paraId="478606B7" w14:textId="77777777" w:rsidR="002D3E10" w:rsidRDefault="002D3E10" w:rsidP="002D3E10">
      <w:pPr>
        <w:pStyle w:val="Normal"/>
        <w:spacing w:after="0" w:line="360" w:lineRule="auto"/>
        <w:ind w:firstLine="709"/>
        <w:rPr>
          <w:rFonts w:ascii="Times New Roman" w:eastAsia="Calibri" w:hAnsi="Times New Roman"/>
          <w:sz w:val="28"/>
          <w:szCs w:val="28"/>
        </w:rPr>
      </w:pPr>
      <w:r>
        <w:rPr>
          <w:rFonts w:ascii="Times New Roman" w:eastAsia="Calibri" w:hAnsi="Times New Roman"/>
          <w:b/>
          <w:bCs/>
          <w:sz w:val="28"/>
          <w:szCs w:val="28"/>
        </w:rPr>
        <w:t>1.6. Взаємозв'язок із цивільною та кримінальною відповідальністю:</w:t>
      </w:r>
      <w:r>
        <w:rPr>
          <w:rFonts w:ascii="Times New Roman" w:eastAsia="Calibri" w:hAnsi="Times New Roman"/>
          <w:sz w:val="28"/>
          <w:szCs w:val="28"/>
        </w:rPr>
        <w:t xml:space="preserve"> Господарська відповідальність не виключає можливості застосування цивільної </w:t>
      </w:r>
      <w:r>
        <w:rPr>
          <w:rFonts w:ascii="Times New Roman" w:eastAsia="Calibri" w:hAnsi="Times New Roman"/>
          <w:sz w:val="28"/>
          <w:szCs w:val="28"/>
        </w:rPr>
        <w:lastRenderedPageBreak/>
        <w:t>чи кримінальної відповідальності за однією і тією ж дією. Ці різні форми відповідальності можуть доповнювати одна одну залежно від характеру та важкості порушення.</w:t>
      </w:r>
    </w:p>
    <w:p w14:paraId="7BBC65DB" w14:textId="77777777" w:rsidR="002D3E10" w:rsidRDefault="002D3E10" w:rsidP="002D3E10">
      <w:pPr>
        <w:pStyle w:val="ListParagraph"/>
        <w:numPr>
          <w:ilvl w:val="0"/>
          <w:numId w:val="2"/>
        </w:numPr>
        <w:spacing w:after="0" w:line="360" w:lineRule="auto"/>
        <w:ind w:left="0" w:firstLine="709"/>
        <w:jc w:val="center"/>
        <w:rPr>
          <w:rFonts w:ascii="Times New Roman" w:eastAsia="Calibri" w:hAnsi="Times New Roman"/>
          <w:sz w:val="32"/>
          <w:szCs w:val="32"/>
        </w:rPr>
      </w:pPr>
      <w:r>
        <w:rPr>
          <w:rFonts w:ascii="Times New Roman" w:eastAsia="Calibri" w:hAnsi="Times New Roman"/>
          <w:b/>
          <w:bCs/>
          <w:sz w:val="32"/>
          <w:szCs w:val="32"/>
        </w:rPr>
        <w:t>Види санкцій в господарській галузі права</w:t>
      </w:r>
    </w:p>
    <w:p w14:paraId="059C786D" w14:textId="77777777" w:rsidR="002D3E10" w:rsidRDefault="002D3E10" w:rsidP="002D3E10">
      <w:pPr>
        <w:pStyle w:val="Normal"/>
        <w:spacing w:after="0" w:line="360" w:lineRule="auto"/>
        <w:ind w:firstLine="709"/>
        <w:rPr>
          <w:rFonts w:ascii="Times New Roman" w:eastAsia="Calibri" w:hAnsi="Times New Roman"/>
          <w:sz w:val="28"/>
          <w:szCs w:val="28"/>
        </w:rPr>
      </w:pPr>
      <w:r>
        <w:rPr>
          <w:rFonts w:ascii="Times New Roman" w:eastAsia="Calibri" w:hAnsi="Times New Roman"/>
          <w:sz w:val="28"/>
          <w:szCs w:val="28"/>
        </w:rPr>
        <w:t>У господарській галузі права існує ряд різних видів санкцій, які застосовуються в разі порушення господарських законів чи невиконання господарських зобов'язань. Основні види санкцій включають:</w:t>
      </w:r>
    </w:p>
    <w:p w14:paraId="5EC4966F" w14:textId="77777777" w:rsidR="002D3E10" w:rsidRDefault="002D3E10" w:rsidP="002D3E10">
      <w:pPr>
        <w:pStyle w:val="Normal"/>
        <w:numPr>
          <w:ilvl w:val="0"/>
          <w:numId w:val="3"/>
        </w:numPr>
        <w:spacing w:after="0" w:line="360" w:lineRule="auto"/>
        <w:ind w:left="0" w:firstLine="709"/>
        <w:rPr>
          <w:rFonts w:ascii="Times New Roman" w:eastAsia="Calibri" w:hAnsi="Times New Roman"/>
          <w:sz w:val="28"/>
          <w:szCs w:val="28"/>
        </w:rPr>
      </w:pPr>
      <w:r>
        <w:rPr>
          <w:rFonts w:ascii="Times New Roman" w:eastAsia="Calibri" w:hAnsi="Times New Roman"/>
          <w:b/>
          <w:bCs/>
          <w:sz w:val="28"/>
          <w:szCs w:val="28"/>
        </w:rPr>
        <w:t>Штрафні санкції:</w:t>
      </w:r>
    </w:p>
    <w:p w14:paraId="36CBF9F0" w14:textId="77777777" w:rsidR="002D3E10" w:rsidRDefault="002D3E10" w:rsidP="002D3E10">
      <w:pPr>
        <w:pStyle w:val="Normal"/>
        <w:numPr>
          <w:ilvl w:val="1"/>
          <w:numId w:val="3"/>
        </w:numPr>
        <w:spacing w:after="0" w:line="360" w:lineRule="auto"/>
        <w:ind w:left="0" w:firstLine="709"/>
        <w:rPr>
          <w:rFonts w:ascii="Times New Roman" w:eastAsia="Calibri" w:hAnsi="Times New Roman"/>
          <w:sz w:val="28"/>
          <w:szCs w:val="28"/>
        </w:rPr>
      </w:pPr>
      <w:r>
        <w:rPr>
          <w:rFonts w:ascii="Times New Roman" w:eastAsia="Calibri" w:hAnsi="Times New Roman"/>
          <w:i/>
          <w:iCs/>
          <w:sz w:val="28"/>
          <w:szCs w:val="28"/>
        </w:rPr>
        <w:t>Особливості:</w:t>
      </w:r>
      <w:r>
        <w:rPr>
          <w:rFonts w:ascii="Times New Roman" w:eastAsia="Calibri" w:hAnsi="Times New Roman"/>
          <w:sz w:val="28"/>
          <w:szCs w:val="28"/>
        </w:rPr>
        <w:t xml:space="preserve"> Штрафи є видом господарсько-правової відповідальності, який застосовується у випадках порушення законодавства чи невиконання контрактних зобов'язань суб'єктом господарювання. Розмір штрафу зазвичай визначається відповідно до серйозності порушення і може бути встановлений в законодавстві.</w:t>
      </w:r>
    </w:p>
    <w:p w14:paraId="4A404F51" w14:textId="77777777" w:rsidR="002D3E10" w:rsidRDefault="002D3E10" w:rsidP="002D3E10">
      <w:pPr>
        <w:pStyle w:val="Normal"/>
        <w:numPr>
          <w:ilvl w:val="0"/>
          <w:numId w:val="3"/>
        </w:numPr>
        <w:spacing w:after="0" w:line="360" w:lineRule="auto"/>
        <w:ind w:left="0" w:firstLine="709"/>
        <w:rPr>
          <w:rFonts w:ascii="Times New Roman" w:eastAsia="Calibri" w:hAnsi="Times New Roman"/>
          <w:sz w:val="28"/>
          <w:szCs w:val="28"/>
        </w:rPr>
      </w:pPr>
      <w:r>
        <w:rPr>
          <w:rFonts w:ascii="Times New Roman" w:eastAsia="Calibri" w:hAnsi="Times New Roman"/>
          <w:b/>
          <w:bCs/>
          <w:sz w:val="28"/>
          <w:szCs w:val="28"/>
        </w:rPr>
        <w:t>Конфіскація майна:</w:t>
      </w:r>
    </w:p>
    <w:p w14:paraId="202FBC2E" w14:textId="77777777" w:rsidR="002D3E10" w:rsidRDefault="002D3E10" w:rsidP="002D3E10">
      <w:pPr>
        <w:pStyle w:val="Normal"/>
        <w:numPr>
          <w:ilvl w:val="1"/>
          <w:numId w:val="3"/>
        </w:numPr>
        <w:spacing w:after="0" w:line="360" w:lineRule="auto"/>
        <w:ind w:left="0" w:firstLine="709"/>
        <w:rPr>
          <w:rFonts w:ascii="Times New Roman" w:eastAsia="Calibri" w:hAnsi="Times New Roman"/>
          <w:sz w:val="28"/>
          <w:szCs w:val="28"/>
        </w:rPr>
      </w:pPr>
      <w:r>
        <w:rPr>
          <w:rFonts w:ascii="Times New Roman" w:eastAsia="Calibri" w:hAnsi="Times New Roman"/>
          <w:i/>
          <w:iCs/>
          <w:sz w:val="28"/>
          <w:szCs w:val="28"/>
        </w:rPr>
        <w:t>Призначення:</w:t>
      </w:r>
      <w:r>
        <w:rPr>
          <w:rFonts w:ascii="Times New Roman" w:eastAsia="Calibri" w:hAnsi="Times New Roman"/>
          <w:sz w:val="28"/>
          <w:szCs w:val="28"/>
        </w:rPr>
        <w:t xml:space="preserve"> Конфіскація майна використовується в ситуаціях серйозних порушень правил, де інші санкції можуть бути недостатньо ефективними. Це може включати вилучення або обмеження використання певного майна суб'єкта господарювання.</w:t>
      </w:r>
    </w:p>
    <w:p w14:paraId="6252FDCF" w14:textId="77777777" w:rsidR="002D3E10" w:rsidRDefault="002D3E10" w:rsidP="002D3E10">
      <w:pPr>
        <w:pStyle w:val="Normal"/>
        <w:numPr>
          <w:ilvl w:val="0"/>
          <w:numId w:val="3"/>
        </w:numPr>
        <w:spacing w:after="0" w:line="360" w:lineRule="auto"/>
        <w:ind w:left="0" w:firstLine="709"/>
        <w:rPr>
          <w:rFonts w:ascii="Times New Roman" w:eastAsia="Calibri" w:hAnsi="Times New Roman"/>
          <w:sz w:val="28"/>
          <w:szCs w:val="28"/>
        </w:rPr>
      </w:pPr>
      <w:r>
        <w:rPr>
          <w:rFonts w:ascii="Times New Roman" w:eastAsia="Calibri" w:hAnsi="Times New Roman"/>
          <w:b/>
          <w:bCs/>
          <w:sz w:val="28"/>
          <w:szCs w:val="28"/>
        </w:rPr>
        <w:t>Призупинення діяльності:</w:t>
      </w:r>
    </w:p>
    <w:p w14:paraId="24DFEAE2" w14:textId="77777777" w:rsidR="002D3E10" w:rsidRDefault="002D3E10" w:rsidP="002D3E10">
      <w:pPr>
        <w:pStyle w:val="Normal"/>
        <w:numPr>
          <w:ilvl w:val="1"/>
          <w:numId w:val="3"/>
        </w:numPr>
        <w:spacing w:after="0" w:line="360" w:lineRule="auto"/>
        <w:ind w:left="0" w:firstLine="709"/>
        <w:rPr>
          <w:rFonts w:ascii="Times New Roman" w:eastAsia="Calibri" w:hAnsi="Times New Roman"/>
          <w:sz w:val="28"/>
          <w:szCs w:val="28"/>
        </w:rPr>
      </w:pPr>
      <w:r>
        <w:rPr>
          <w:rFonts w:ascii="Times New Roman" w:eastAsia="Calibri" w:hAnsi="Times New Roman"/>
          <w:i/>
          <w:iCs/>
          <w:sz w:val="28"/>
          <w:szCs w:val="28"/>
        </w:rPr>
        <w:t>Мета:</w:t>
      </w:r>
      <w:r>
        <w:rPr>
          <w:rFonts w:ascii="Times New Roman" w:eastAsia="Calibri" w:hAnsi="Times New Roman"/>
          <w:sz w:val="28"/>
          <w:szCs w:val="28"/>
        </w:rPr>
        <w:t xml:space="preserve"> Призупинення діяльності підприємства чи суб'єкта господарювання застосовується як форма покарання за серйозні порушення. Ця санкція може впливати на фінансове становище та репутацію організації.</w:t>
      </w:r>
    </w:p>
    <w:p w14:paraId="3D429D2B" w14:textId="77777777" w:rsidR="002D3E10" w:rsidRDefault="002D3E10" w:rsidP="002D3E10">
      <w:pPr>
        <w:pStyle w:val="Normal"/>
        <w:numPr>
          <w:ilvl w:val="0"/>
          <w:numId w:val="3"/>
        </w:numPr>
        <w:spacing w:after="0" w:line="360" w:lineRule="auto"/>
        <w:ind w:left="0" w:firstLine="709"/>
        <w:rPr>
          <w:rFonts w:ascii="Times New Roman" w:eastAsia="Calibri" w:hAnsi="Times New Roman"/>
          <w:sz w:val="28"/>
          <w:szCs w:val="28"/>
        </w:rPr>
      </w:pPr>
      <w:r>
        <w:rPr>
          <w:rFonts w:ascii="Times New Roman" w:eastAsia="Calibri" w:hAnsi="Times New Roman"/>
          <w:b/>
          <w:bCs/>
          <w:sz w:val="28"/>
          <w:szCs w:val="28"/>
        </w:rPr>
        <w:t>Ліцензійні санкції:</w:t>
      </w:r>
    </w:p>
    <w:p w14:paraId="3F9455E2" w14:textId="77777777" w:rsidR="002D3E10" w:rsidRDefault="002D3E10" w:rsidP="002D3E10">
      <w:pPr>
        <w:pStyle w:val="Normal"/>
        <w:numPr>
          <w:ilvl w:val="1"/>
          <w:numId w:val="3"/>
        </w:numPr>
        <w:spacing w:after="0" w:line="360" w:lineRule="auto"/>
        <w:ind w:left="0" w:firstLine="709"/>
        <w:rPr>
          <w:rFonts w:ascii="Times New Roman" w:eastAsia="Calibri" w:hAnsi="Times New Roman"/>
          <w:sz w:val="28"/>
          <w:szCs w:val="28"/>
        </w:rPr>
      </w:pPr>
      <w:r>
        <w:rPr>
          <w:rFonts w:ascii="Times New Roman" w:eastAsia="Calibri" w:hAnsi="Times New Roman"/>
          <w:i/>
          <w:iCs/>
          <w:sz w:val="28"/>
          <w:szCs w:val="28"/>
        </w:rPr>
        <w:t>Накладання:</w:t>
      </w:r>
      <w:r>
        <w:rPr>
          <w:rFonts w:ascii="Times New Roman" w:eastAsia="Calibri" w:hAnsi="Times New Roman"/>
          <w:sz w:val="28"/>
          <w:szCs w:val="28"/>
        </w:rPr>
        <w:t xml:space="preserve"> У випадках порушення умов ліцензій чи дозволів, органи регулювання можуть призупинити або анулювати ліцензії, що може призвести до зупинки діяльності суб'єкта господарювання.</w:t>
      </w:r>
    </w:p>
    <w:p w14:paraId="38AFA215" w14:textId="77777777" w:rsidR="002D3E10" w:rsidRDefault="002D3E10" w:rsidP="002D3E10">
      <w:pPr>
        <w:pStyle w:val="Normal"/>
        <w:numPr>
          <w:ilvl w:val="0"/>
          <w:numId w:val="3"/>
        </w:numPr>
        <w:spacing w:after="0" w:line="360" w:lineRule="auto"/>
        <w:ind w:left="0" w:firstLine="709"/>
        <w:rPr>
          <w:rFonts w:ascii="Times New Roman" w:eastAsia="Calibri" w:hAnsi="Times New Roman"/>
          <w:sz w:val="28"/>
          <w:szCs w:val="28"/>
        </w:rPr>
      </w:pPr>
      <w:r>
        <w:rPr>
          <w:rFonts w:ascii="Times New Roman" w:eastAsia="Calibri" w:hAnsi="Times New Roman"/>
          <w:b/>
          <w:bCs/>
          <w:sz w:val="28"/>
          <w:szCs w:val="28"/>
        </w:rPr>
        <w:t>Господарські обмеження:</w:t>
      </w:r>
    </w:p>
    <w:p w14:paraId="44E9D772" w14:textId="77777777" w:rsidR="002D3E10" w:rsidRDefault="002D3E10" w:rsidP="002D3E10">
      <w:pPr>
        <w:pStyle w:val="Normal"/>
        <w:numPr>
          <w:ilvl w:val="1"/>
          <w:numId w:val="3"/>
        </w:numPr>
        <w:spacing w:after="0" w:line="360" w:lineRule="auto"/>
        <w:ind w:left="0" w:firstLine="709"/>
        <w:rPr>
          <w:rFonts w:ascii="Times New Roman" w:eastAsia="Calibri" w:hAnsi="Times New Roman"/>
          <w:sz w:val="28"/>
          <w:szCs w:val="28"/>
        </w:rPr>
      </w:pPr>
      <w:r>
        <w:rPr>
          <w:rFonts w:ascii="Times New Roman" w:eastAsia="Calibri" w:hAnsi="Times New Roman"/>
          <w:i/>
          <w:iCs/>
          <w:sz w:val="28"/>
          <w:szCs w:val="28"/>
        </w:rPr>
        <w:t>Характеристика:</w:t>
      </w:r>
      <w:r>
        <w:rPr>
          <w:rFonts w:ascii="Times New Roman" w:eastAsia="Calibri" w:hAnsi="Times New Roman"/>
          <w:sz w:val="28"/>
          <w:szCs w:val="28"/>
        </w:rPr>
        <w:t xml:space="preserve"> Ця форма санкцій може включати різноманітні обмеження, такі як заборона на участь у конкурсах, обмеження укладення </w:t>
      </w:r>
      <w:r>
        <w:rPr>
          <w:rFonts w:ascii="Times New Roman" w:eastAsia="Calibri" w:hAnsi="Times New Roman"/>
          <w:sz w:val="28"/>
          <w:szCs w:val="28"/>
        </w:rPr>
        <w:lastRenderedPageBreak/>
        <w:t>договорів, або здійснення певних видів діяльності. Обмеження можуть бути тимчасовими чи постійними.</w:t>
      </w:r>
    </w:p>
    <w:p w14:paraId="130DF338" w14:textId="77777777" w:rsidR="002D3E10" w:rsidRDefault="002D3E10"/>
    <w:sectPr w:rsidR="002D3E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2AB"/>
    <w:multiLevelType w:val="multilevel"/>
    <w:tmpl w:val="042ED9D0"/>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bullet"/>
      <w:lvlText w:val=""/>
      <w:lvlJc w:val="left"/>
      <w:pPr>
        <w:tabs>
          <w:tab w:val="num" w:pos="1440"/>
        </w:tabs>
        <w:ind w:left="1440" w:hanging="360"/>
      </w:pPr>
      <w:rPr>
        <w:rFonts w:ascii="Symbol" w:hAnsi="Symbol" w:hint="default"/>
        <w:sz w:val="20"/>
        <w:szCs w:val="20"/>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 w15:restartNumberingAfterBreak="0">
    <w:nsid w:val="47D27E34"/>
    <w:multiLevelType w:val="multilevel"/>
    <w:tmpl w:val="DDB02E5E"/>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769348E1"/>
    <w:multiLevelType w:val="multilevel"/>
    <w:tmpl w:val="5C2C608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E10"/>
    <w:rsid w:val="002D3E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0762C"/>
  <w15:chartTrackingRefBased/>
  <w15:docId w15:val="{EAD9725C-9E83-44F5-99DF-52AD6BC7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D3E10"/>
    <w:pPr>
      <w:spacing w:before="100" w:beforeAutospacing="1" w:line="256" w:lineRule="auto"/>
    </w:pPr>
    <w:rPr>
      <w:rFonts w:ascii="Calibri" w:eastAsia="Times New Roman" w:hAnsi="Calibri" w:cs="Times New Roman"/>
      <w:lang w:eastAsia="uk-UA"/>
    </w:rPr>
  </w:style>
  <w:style w:type="paragraph" w:customStyle="1" w:styleId="NormalWeb">
    <w:name w:val="Normal (Web)"/>
    <w:basedOn w:val="a"/>
    <w:semiHidden/>
    <w:rsid w:val="002D3E1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ListParagraph">
    <w:name w:val="List Paragraph"/>
    <w:basedOn w:val="a"/>
    <w:rsid w:val="002D3E10"/>
    <w:pPr>
      <w:spacing w:before="100" w:beforeAutospacing="1" w:line="256" w:lineRule="auto"/>
      <w:ind w:left="720"/>
      <w:contextualSpacing/>
    </w:pPr>
    <w:rPr>
      <w:rFonts w:ascii="Calibri" w:eastAsia="Times New Roman" w:hAnsi="Calibri"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360837">
      <w:bodyDiv w:val="1"/>
      <w:marLeft w:val="0"/>
      <w:marRight w:val="0"/>
      <w:marTop w:val="0"/>
      <w:marBottom w:val="0"/>
      <w:divBdr>
        <w:top w:val="none" w:sz="0" w:space="0" w:color="auto"/>
        <w:left w:val="none" w:sz="0" w:space="0" w:color="auto"/>
        <w:bottom w:val="none" w:sz="0" w:space="0" w:color="auto"/>
        <w:right w:val="none" w:sz="0" w:space="0" w:color="auto"/>
      </w:divBdr>
      <w:divsChild>
        <w:div w:id="1508980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3076</Words>
  <Characters>1754</Characters>
  <Application>Microsoft Office Word</Application>
  <DocSecurity>0</DocSecurity>
  <Lines>14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Tetiana Balaban</dc:creator>
  <cp:keywords/>
  <dc:description/>
  <cp:lastModifiedBy>Tetiana Balaban</cp:lastModifiedBy>
  <cp:revision>1</cp:revision>
  <dcterms:created xsi:type="dcterms:W3CDTF">2023-11-16T20:24:00Z</dcterms:created>
  <dcterms:modified xsi:type="dcterms:W3CDTF">2023-11-16T20:24:00Z</dcterms:modified>
</cp:coreProperties>
</file>