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D4" w:rsidRDefault="00C851D4" w:rsidP="00C851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Тема 6. Психічні особливості рекламної політики</w:t>
      </w:r>
    </w:p>
    <w:p w:rsidR="00C851D4" w:rsidRDefault="00C851D4" w:rsidP="00C851D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51D4" w:rsidRDefault="00C851D4" w:rsidP="00C851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2E5460">
        <w:rPr>
          <w:rFonts w:ascii="Times New Roman" w:hAnsi="Times New Roman"/>
          <w:sz w:val="24"/>
          <w:szCs w:val="24"/>
          <w:lang w:val="uk-UA"/>
        </w:rPr>
        <w:t xml:space="preserve">Паблік-рилейшнз – PR. </w:t>
      </w:r>
    </w:p>
    <w:p w:rsidR="00C851D4" w:rsidRDefault="00C851D4" w:rsidP="00C851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2E5460">
        <w:rPr>
          <w:rFonts w:ascii="Times New Roman" w:hAnsi="Times New Roman"/>
          <w:sz w:val="24"/>
          <w:szCs w:val="24"/>
          <w:lang w:val="uk-UA"/>
        </w:rPr>
        <w:t>Сутність та специфіка PR.</w:t>
      </w:r>
    </w:p>
    <w:p w:rsidR="00C851D4" w:rsidRDefault="00C851D4" w:rsidP="00C851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3.Вплив реклами на свідомість та підсвідомість споживачів.</w:t>
      </w:r>
    </w:p>
    <w:p w:rsidR="00013C45" w:rsidRDefault="00C851D4" w:rsidP="00C851D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4.Нейромаркетинг</w:t>
      </w:r>
    </w:p>
    <w:p w:rsidR="00425F1B" w:rsidRDefault="00425F1B" w:rsidP="00C851D4">
      <w:pPr>
        <w:rPr>
          <w:rFonts w:ascii="Times New Roman" w:hAnsi="Times New Roman"/>
          <w:sz w:val="24"/>
          <w:szCs w:val="24"/>
          <w:lang w:val="uk-UA"/>
        </w:rPr>
      </w:pPr>
    </w:p>
    <w:p w:rsidR="00425F1B" w:rsidRPr="00425F1B" w:rsidRDefault="00425F1B" w:rsidP="00A269C3">
      <w:pPr>
        <w:spacing w:after="45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0" w:name="_GoBack"/>
      <w:r w:rsidRPr="00425F1B">
        <w:rPr>
          <w:rFonts w:ascii="Times New Roman" w:hAnsi="Times New Roman"/>
          <w:sz w:val="24"/>
          <w:szCs w:val="24"/>
          <w:lang w:val="uk-UA" w:eastAsia="uk-UA"/>
        </w:rPr>
        <w:t xml:space="preserve">Паблік </w:t>
      </w:r>
      <w:proofErr w:type="spellStart"/>
      <w:r w:rsidRPr="00425F1B">
        <w:rPr>
          <w:rFonts w:ascii="Times New Roman" w:hAnsi="Times New Roman"/>
          <w:sz w:val="24"/>
          <w:szCs w:val="24"/>
          <w:lang w:val="uk-UA" w:eastAsia="uk-UA"/>
        </w:rPr>
        <w:t>рілейшнз</w:t>
      </w:r>
      <w:proofErr w:type="spellEnd"/>
      <w:r w:rsidRPr="00425F1B">
        <w:rPr>
          <w:rFonts w:ascii="Times New Roman" w:hAnsi="Times New Roman"/>
          <w:sz w:val="24"/>
          <w:szCs w:val="24"/>
          <w:lang w:val="uk-UA" w:eastAsia="uk-UA"/>
        </w:rPr>
        <w:t xml:space="preserve"> – некомерційні відносини з громадськістю, створення сприятливої думки про виробника товарів або послуг не тільки серед потенційних клієнтів, але і у преси, різних громадських організацій, виборних установ. Забезпечуються шляхом формування сприятливого образу фірми – іміджу. В їх основі лежить прагнення довести до широких кіл громадськості ідею про те, що основним завданням роботи фірми є намір діяти в інтересах споживачів і суспільства в цілому. Основні заходи:</w:t>
      </w:r>
    </w:p>
    <w:bookmarkEnd w:id="0"/>
    <w:p w:rsidR="00425F1B" w:rsidRPr="00425F1B" w:rsidRDefault="00425F1B" w:rsidP="00425F1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пресс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>-конференції з приводу життя підприємства;</w:t>
      </w:r>
    </w:p>
    <w:p w:rsidR="00425F1B" w:rsidRPr="00425F1B" w:rsidRDefault="00425F1B" w:rsidP="00425F1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 xml:space="preserve">престижна реклама фірми, що пропагує її діяльність в цілому, стиль управління, роботу з кадрами, охорону навколишнього середовища і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т.д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.;</w:t>
      </w:r>
    </w:p>
    <w:p w:rsidR="00425F1B" w:rsidRPr="00425F1B" w:rsidRDefault="00425F1B" w:rsidP="00425F1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 xml:space="preserve">некомерційні статті,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теле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>- і радіопередачі;</w:t>
      </w:r>
    </w:p>
    <w:p w:rsidR="00425F1B" w:rsidRPr="00425F1B" w:rsidRDefault="00425F1B" w:rsidP="00425F1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 xml:space="preserve">різноманітна громадська, благодійна і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стажерська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діяльність на підтримку різних осіб, установ та організацій;</w:t>
      </w:r>
    </w:p>
    <w:p w:rsidR="00425F1B" w:rsidRPr="00425F1B" w:rsidRDefault="00425F1B" w:rsidP="00425F1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різні ювілейні заходи;</w:t>
      </w:r>
    </w:p>
    <w:p w:rsidR="00425F1B" w:rsidRPr="00425F1B" w:rsidRDefault="00425F1B" w:rsidP="00425F1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щорічні звіти про діяльність фірми;</w:t>
      </w:r>
    </w:p>
    <w:p w:rsidR="00425F1B" w:rsidRPr="00425F1B" w:rsidRDefault="00425F1B" w:rsidP="00425F1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фірмові журнали.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Функції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 xml:space="preserve">Паблік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рілейшнз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– особлива функція управління, покликана:</w:t>
      </w:r>
    </w:p>
    <w:p w:rsidR="00425F1B" w:rsidRPr="00425F1B" w:rsidRDefault="00425F1B" w:rsidP="00425F1B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 xml:space="preserve">налагоджувати і підтримувати взаємозв’язок, взаєморозуміння,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взаємовизнання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та співробітництво між організацією і публікою;</w:t>
      </w:r>
    </w:p>
    <w:p w:rsidR="00425F1B" w:rsidRPr="00425F1B" w:rsidRDefault="00425F1B" w:rsidP="00425F1B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здійснювати управління процесом вирішення проблем і спірних питань;</w:t>
      </w:r>
    </w:p>
    <w:p w:rsidR="00425F1B" w:rsidRPr="00425F1B" w:rsidRDefault="00425F1B" w:rsidP="00425F1B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допомагати керівництву в дослідженні громадської думки і реагувати на неї;</w:t>
      </w:r>
    </w:p>
    <w:p w:rsidR="00425F1B" w:rsidRPr="00425F1B" w:rsidRDefault="00425F1B" w:rsidP="00425F1B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визначати відповідальність керівництва в питаннях служіння суспільним інтересам;</w:t>
      </w:r>
    </w:p>
    <w:p w:rsidR="00425F1B" w:rsidRPr="00425F1B" w:rsidRDefault="00425F1B" w:rsidP="00425F1B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допомагати керівництву ефективно змінюватися, щоб бути на рівні вимог часу;</w:t>
      </w:r>
    </w:p>
    <w:p w:rsidR="00425F1B" w:rsidRPr="00425F1B" w:rsidRDefault="00425F1B" w:rsidP="00425F1B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допомагати передбачати тенденції розвитку, функціонуючи як система завчасного попередження;</w:t>
      </w:r>
    </w:p>
    <w:p w:rsidR="00425F1B" w:rsidRPr="00425F1B" w:rsidRDefault="00425F1B" w:rsidP="00425F1B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використовувати наукові методи, гідні моральні підвалини спілкування як свої головні знаряддя.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 xml:space="preserve">Сьогодні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public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relations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перетворився в одну з найприбутковіших галузей бізнесу. За даними американського журналу «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Fortune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», паблік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рилейшнз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входить до числа двадцяти галузей світової економіки, що найбільш швидко розвиваються, а кількість PR-менеджерів тільки в США за останнє десятиліття зросла майже в два рази – до 200 тис. Чоловік. В Європі налічується понад 2 тис. PR-агентств, в США – близько 20 тис. Оборот найбільших з них становить 20-50 млн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дол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. При середній рентабельності 10%. В сумі світовий обсяг РR-індустрії складає від 6 до 10 млрд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дол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>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Американські фірми, що працюють в сфері високих технологій, витрачають на PR 25% всіх коштів, що виділяються на комунікаційні потреби. На Заході найбільшим попитом PR-послуги користуються в таких секторах ринку, як сфера високих технологій, споживчі та фармацевтичні товари, охорона здоров’я, екологія, фінансові послуги.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 xml:space="preserve">Управління зв’язками з громадськістю дає позитивні результати тільки при відношенні до паблік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рілейшнз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як довгострокової функції стратегічного управління. Для оцінки ефективності PR-діяльності існує ряд критеріїв:</w:t>
      </w:r>
    </w:p>
    <w:p w:rsidR="00425F1B" w:rsidRPr="00425F1B" w:rsidRDefault="00425F1B" w:rsidP="00425F1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підвищення ефективності роботи компанії і збільшення її вартості;</w:t>
      </w:r>
    </w:p>
    <w:p w:rsidR="00425F1B" w:rsidRPr="00425F1B" w:rsidRDefault="00425F1B" w:rsidP="00425F1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зростання обсягів продажів або звернень до послуг компанії;</w:t>
      </w:r>
    </w:p>
    <w:p w:rsidR="00425F1B" w:rsidRPr="00425F1B" w:rsidRDefault="00425F1B" w:rsidP="00425F1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lastRenderedPageBreak/>
        <w:t>зміна громадської думки про компанію в позитивну сторону;</w:t>
      </w:r>
    </w:p>
    <w:p w:rsidR="00425F1B" w:rsidRPr="00425F1B" w:rsidRDefault="00425F1B" w:rsidP="00425F1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підвищення рейтингу топ-менеджменту.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Набір інструментів MPR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 xml:space="preserve">Для позначення комунікативної функції управління в маркетингу на початку 1980-х рр. з легкої руки Ф.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Котлера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> застосовується термін 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marketing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public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relations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(MPR), що позначає різнобічну взаємодію фірми з цільовими аудиторіями з метою вирішення її маркетингових задач. MPR уособлює собою всю комунікацію, яка необхідна для продажу продукту або послуги споживачеві. MPR складається з набору інструментів, іменованого PENCILS: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Publications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– публікації (журнали компанії, річні звіти, брошури для покупців і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т.д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>.);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Events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– заходи (фінансування спортивних змагань, вистав або виставок);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News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– новини (сприятливі історії про компанії, її службовців і товарах);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Community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involvement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activities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– робота з групами населення (вкладення грошей в рішення проблем місцевого населення);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Identity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media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– засоби ідентифікації (поштовий папір, візитні картки, корпоративний стиль в одязі);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Lobbying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activity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– лобіювання (спроби провести вигідні і провалити невигідні закони і укази);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Social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responsibility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activities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– соціальна відповідальність (створення хорошої репутації компанії, її громадського особи).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Моделі PR-Маркетинг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Існує п’ять моделей, що характеризують взаємини між маркетингом і PR в організації: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Модель «Окремі функції» стверджує, що маркетинг і PR різні в своїх перспективах і можливостях. Маркетинг існує, щоб добре відчувати замовника, служити йому і задовольняти його потреби з вигодою для фірми. PR існує, щоб створювати добру волю у різних представників громадськості (оточення компанії), щоб ця громадськість не втручалася в діяльність фірми по отриманню прибутку.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 xml:space="preserve">Модель «Різні, але пересічні функції» відображає точку зору, яка полягає в тому, що маркетинг і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public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relations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є важливими, але роздільними функціями, що мають сфери перетину. Найбільш очевидне перетинання – створення популярності товару. Компанія може віднести рекламування товару до функцій або відділу маркетингу, або відділу PR.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 xml:space="preserve">Модель «Маркетинг як домінуюча функція» вимагає, щоб паблік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рілейшнз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повинен бути поставлений під контроль маркетингу компанії.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Модель «PR як домінуюча функція» передбачає протилежне: в ній PR контролює маркетинг. Майбутнє фірми багато в чому залежить від того, як вона розглядається елітою, включаючи власників акцій, фінансових інститутів, громадських лідерів та інших споживачів. Завдання фірми полягає в тому, щоб задовольняти громадськість, як тільки можливо.</w:t>
      </w:r>
    </w:p>
    <w:p w:rsid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Модель «Маркетинг і PR як схожі функції» виходить з того, що обидві функції базуються на єдиній концепції і методології. PR і маркетинг разом працюють над з’ясуванням потреб і сегментацією ринку, формують іміджеві програми і забезпечують управлінський процес. Необхідно відзначити, що саме цей підхід зараз використовується більшістю великих компаній, що успішно функціонують на вітчизняному і зарубіжних ринках.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5F1B" w:rsidRPr="00425F1B" w:rsidRDefault="00425F1B" w:rsidP="00425F1B">
      <w:pPr>
        <w:spacing w:after="45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Види паблік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рілейшнз</w:t>
      </w:r>
      <w:proofErr w:type="spellEnd"/>
    </w:p>
    <w:p w:rsidR="00425F1B" w:rsidRPr="00425F1B" w:rsidRDefault="00425F1B" w:rsidP="00425F1B">
      <w:pPr>
        <w:spacing w:after="4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sz w:val="24"/>
          <w:szCs w:val="24"/>
          <w:lang w:val="uk-UA" w:eastAsia="uk-UA"/>
        </w:rPr>
        <w:t xml:space="preserve">Виділяють наступні види паблік </w:t>
      </w:r>
      <w:proofErr w:type="spellStart"/>
      <w:r w:rsidRPr="00425F1B">
        <w:rPr>
          <w:rFonts w:ascii="Times New Roman" w:hAnsi="Times New Roman"/>
          <w:sz w:val="24"/>
          <w:szCs w:val="24"/>
          <w:lang w:val="uk-UA" w:eastAsia="uk-UA"/>
        </w:rPr>
        <w:t>рілейшнз</w:t>
      </w:r>
      <w:proofErr w:type="spellEnd"/>
      <w:r w:rsidRPr="00425F1B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425F1B">
        <w:rPr>
          <w:rFonts w:ascii="Times New Roman" w:hAnsi="Times New Roman"/>
          <w:sz w:val="24"/>
          <w:szCs w:val="24"/>
          <w:lang w:val="uk-UA" w:eastAsia="uk-UA"/>
        </w:rPr>
        <w:t>грунтуючись</w:t>
      </w:r>
      <w:proofErr w:type="spellEnd"/>
      <w:r w:rsidRPr="00425F1B">
        <w:rPr>
          <w:rFonts w:ascii="Times New Roman" w:hAnsi="Times New Roman"/>
          <w:sz w:val="24"/>
          <w:szCs w:val="24"/>
          <w:lang w:val="uk-UA" w:eastAsia="uk-UA"/>
        </w:rPr>
        <w:t xml:space="preserve"> на виділення тих чи інших критеріїв:</w:t>
      </w:r>
    </w:p>
    <w:p w:rsidR="00425F1B" w:rsidRPr="00425F1B" w:rsidRDefault="00425F1B" w:rsidP="00425F1B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Чорний PR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 xml:space="preserve"> – використання «чорних» технологій для очорнення репутації конкуруючої організації, групи і </w:t>
      </w:r>
      <w:proofErr w:type="spellStart"/>
      <w:r w:rsidRPr="00425F1B">
        <w:rPr>
          <w:rFonts w:ascii="Times New Roman" w:hAnsi="Times New Roman"/>
          <w:sz w:val="24"/>
          <w:szCs w:val="24"/>
          <w:lang w:val="uk-UA" w:eastAsia="uk-UA"/>
        </w:rPr>
        <w:t>т.д</w:t>
      </w:r>
      <w:proofErr w:type="spellEnd"/>
      <w:r w:rsidRPr="00425F1B">
        <w:rPr>
          <w:rFonts w:ascii="Times New Roman" w:hAnsi="Times New Roman"/>
          <w:sz w:val="24"/>
          <w:szCs w:val="24"/>
          <w:lang w:val="uk-UA" w:eastAsia="uk-UA"/>
        </w:rPr>
        <w:t>., поширення від її імені образливих або економічно небезпечних заяв та ін. Іноді достатньо обмежитися публікацією компромату. Словосполучення утворене за аналогією з виразом «чорна пропаганда».</w:t>
      </w:r>
    </w:p>
    <w:p w:rsidR="00425F1B" w:rsidRPr="00425F1B" w:rsidRDefault="00425F1B" w:rsidP="00425F1B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lastRenderedPageBreak/>
        <w:t>Політичний PR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> – це спеціалізована діяльність суб’єктів політики, спрямована на ефективне управління їх публічною комунікацією і підвищення політичної конкурентоспроможності за рахунок залучення громадської підтримки.</w:t>
      </w:r>
    </w:p>
    <w:p w:rsidR="00425F1B" w:rsidRPr="00425F1B" w:rsidRDefault="00425F1B" w:rsidP="00425F1B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Соціальний PR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 xml:space="preserve"> – це діяльність, спрямована на формування, підтримку і розвиток потрібних (найчастіше позитивних) відносин, формування позитивних моделей поведінки і </w:t>
      </w:r>
      <w:proofErr w:type="spellStart"/>
      <w:r w:rsidRPr="00425F1B">
        <w:rPr>
          <w:rFonts w:ascii="Times New Roman" w:hAnsi="Times New Roman"/>
          <w:sz w:val="24"/>
          <w:szCs w:val="24"/>
          <w:lang w:val="uk-UA" w:eastAsia="uk-UA"/>
        </w:rPr>
        <w:t>т.д</w:t>
      </w:r>
      <w:proofErr w:type="spellEnd"/>
      <w:r w:rsidRPr="00425F1B">
        <w:rPr>
          <w:rFonts w:ascii="Times New Roman" w:hAnsi="Times New Roman"/>
          <w:sz w:val="24"/>
          <w:szCs w:val="24"/>
          <w:lang w:val="uk-UA" w:eastAsia="uk-UA"/>
        </w:rPr>
        <w:t xml:space="preserve">. До цієї сфери паблік </w:t>
      </w:r>
      <w:proofErr w:type="spellStart"/>
      <w:r w:rsidRPr="00425F1B">
        <w:rPr>
          <w:rFonts w:ascii="Times New Roman" w:hAnsi="Times New Roman"/>
          <w:sz w:val="24"/>
          <w:szCs w:val="24"/>
          <w:lang w:val="uk-UA" w:eastAsia="uk-UA"/>
        </w:rPr>
        <w:t>рілейшнз</w:t>
      </w:r>
      <w:proofErr w:type="spellEnd"/>
      <w:r w:rsidRPr="00425F1B">
        <w:rPr>
          <w:rFonts w:ascii="Times New Roman" w:hAnsi="Times New Roman"/>
          <w:sz w:val="24"/>
          <w:szCs w:val="24"/>
          <w:lang w:val="uk-UA" w:eastAsia="uk-UA"/>
        </w:rPr>
        <w:t xml:space="preserve"> традиційно відносяться соціальні та благодійні проекти і програми бізнес-структур і проекти громадських та некомерційних організацій.</w:t>
      </w:r>
    </w:p>
    <w:p w:rsidR="00425F1B" w:rsidRPr="00425F1B" w:rsidRDefault="00425F1B" w:rsidP="00425F1B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PR «зовнішній» </w:t>
      </w:r>
      <w:proofErr w:type="spellStart"/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і«внутрішній</w:t>
      </w:r>
      <w:proofErr w:type="spellEnd"/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»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>: за критерієм роботи з цільовими аудиторіями поза і всередині організацій; з точки зору технологічного в першому випадку мова йде про роботу з неконтрольованими, у другому – з контрольованими ЗМІ.</w:t>
      </w:r>
    </w:p>
    <w:p w:rsidR="00425F1B" w:rsidRPr="00425F1B" w:rsidRDefault="00425F1B" w:rsidP="00425F1B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PR «позитивний» </w:t>
      </w:r>
      <w:proofErr w:type="spellStart"/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і«негативний</w:t>
      </w:r>
      <w:proofErr w:type="spellEnd"/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»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 xml:space="preserve">: мова йде про позитивну, творчу або негативну, руйнівну роботу; багато PR-фахівці категорично заперечують саму можливість розгляду негативного спрямування як те, що відноситься до </w:t>
      </w:r>
      <w:proofErr w:type="spellStart"/>
      <w:r w:rsidRPr="00425F1B">
        <w:rPr>
          <w:rFonts w:ascii="Times New Roman" w:hAnsi="Times New Roman"/>
          <w:sz w:val="24"/>
          <w:szCs w:val="24"/>
          <w:lang w:val="uk-UA" w:eastAsia="uk-UA"/>
        </w:rPr>
        <w:t>public</w:t>
      </w:r>
      <w:proofErr w:type="spellEnd"/>
      <w:r w:rsidRPr="00425F1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425F1B">
        <w:rPr>
          <w:rFonts w:ascii="Times New Roman" w:hAnsi="Times New Roman"/>
          <w:sz w:val="24"/>
          <w:szCs w:val="24"/>
          <w:lang w:val="uk-UA" w:eastAsia="uk-UA"/>
        </w:rPr>
        <w:t>relations</w:t>
      </w:r>
      <w:proofErr w:type="spellEnd"/>
      <w:r w:rsidRPr="00425F1B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425F1B" w:rsidRPr="00425F1B" w:rsidRDefault="00425F1B" w:rsidP="00425F1B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PR «негативний» </w:t>
      </w:r>
      <w:proofErr w:type="spellStart"/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і«антикризовий</w:t>
      </w:r>
      <w:proofErr w:type="spellEnd"/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»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>: «обслуговування», забезпечення атакуючої або оборонної бізнес-діяльності; ця дихотомія мислима лише в разі, якщо всерйоз ставиться питання про «негативний» PR і протидії йому антикризовому; протилежний підхід, по суті, розглядає реальне суспільство як безконфліктне, що складається в масі своїй з вельми високоморальних людей.</w:t>
      </w:r>
    </w:p>
    <w:p w:rsidR="00425F1B" w:rsidRPr="00425F1B" w:rsidRDefault="00425F1B" w:rsidP="00425F1B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PR «повсякденний» ( «рутинний») і «антикризовий» («аварійний»)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>: в першому випадку мова йде про PR-діяльність у відносно спокійній, повсякденній обстановці, пов’язаної з позитивною діяльністю і допускає високий ступінь планування в силу підконтрольності ситуації; у другому – про діяльність в ситуації цейтноту, стресу, високого ступеня невизначеності, викликаної, як правило, «зовнішніми» силами.</w:t>
      </w:r>
    </w:p>
    <w:p w:rsidR="00425F1B" w:rsidRPr="00425F1B" w:rsidRDefault="00425F1B" w:rsidP="00425F1B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PR повсякденний і PR проектний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>: виконання або рутинної, звичайної роботи, яка в принципі не має часових горизонтів, або діяльності, що носить мобілізаційний характер, пов’язаної з розробкою та реалізацією проектів.</w:t>
      </w:r>
    </w:p>
    <w:p w:rsidR="00425F1B" w:rsidRPr="00425F1B" w:rsidRDefault="00425F1B" w:rsidP="00425F1B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PR в сферах комерційної, некомерційної, політичної і державної діяльності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>: здійснення PR-діяльності, пов’язаної з різницею в доступі до ресурсів, більшою чи меншою мірою ризиків, більшою чи меншою можливістю виконання креативної роботи.</w:t>
      </w:r>
    </w:p>
    <w:p w:rsidR="00425F1B" w:rsidRPr="00425F1B" w:rsidRDefault="00425F1B" w:rsidP="00425F1B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PR персональний, організаційний і товарний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> (PR людей, організацій і товарів / послуг): за критерієм роботи PR-структури з тим чи іншим об’єктом PR-просування.</w:t>
      </w:r>
    </w:p>
    <w:p w:rsidR="00425F1B" w:rsidRPr="00425F1B" w:rsidRDefault="00425F1B" w:rsidP="00425F1B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«PR </w:t>
      </w:r>
      <w:proofErr w:type="spellStart"/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офлайн</w:t>
      </w:r>
      <w:proofErr w:type="spellEnd"/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» і «PR онлайн»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>: PR-діяльність в звичайному середовищі або з використанням повноцінного PR-агентства і в мережі Інтернет або з використанням онлайн PR-агентства.</w:t>
      </w:r>
    </w:p>
    <w:p w:rsidR="00425F1B" w:rsidRPr="00425F1B" w:rsidRDefault="00425F1B" w:rsidP="00425F1B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PR </w:t>
      </w:r>
      <w:proofErr w:type="spellStart"/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подієвий</w:t>
      </w:r>
      <w:proofErr w:type="spellEnd"/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і сенсаційний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>: в першому випадку центральною категорією є «новина», у другому – «сенсація» (теж новина, але така, яка майже автоматично привертає до себе увагу преси).</w:t>
      </w:r>
    </w:p>
    <w:p w:rsidR="00425F1B" w:rsidRPr="00425F1B" w:rsidRDefault="00425F1B" w:rsidP="00C851D4">
      <w:pPr>
        <w:numPr>
          <w:ilvl w:val="0"/>
          <w:numId w:val="9"/>
        </w:numPr>
        <w:spacing w:before="150" w:after="0" w:line="240" w:lineRule="auto"/>
        <w:ind w:left="-225"/>
        <w:rPr>
          <w:rFonts w:ascii="Times New Roman" w:hAnsi="Times New Roman"/>
          <w:sz w:val="24"/>
          <w:szCs w:val="24"/>
          <w:lang w:val="uk-UA" w:eastAsia="uk-UA"/>
        </w:rPr>
      </w:pPr>
      <w:r w:rsidRPr="00425F1B">
        <w:rPr>
          <w:rFonts w:ascii="Times New Roman" w:hAnsi="Times New Roman"/>
          <w:b/>
          <w:bCs/>
          <w:sz w:val="24"/>
          <w:szCs w:val="24"/>
          <w:lang w:val="uk-UA" w:eastAsia="uk-UA"/>
        </w:rPr>
        <w:t>PR супровід і PR просування</w:t>
      </w:r>
      <w:r w:rsidRPr="00425F1B">
        <w:rPr>
          <w:rFonts w:ascii="Times New Roman" w:hAnsi="Times New Roman"/>
          <w:sz w:val="24"/>
          <w:szCs w:val="24"/>
          <w:lang w:val="uk-UA" w:eastAsia="uk-UA"/>
        </w:rPr>
        <w:t>: в першому випадку мова може йти про новинне висвітлення у ЗМІ таких самостійних видів просування, як виставка, презентація, прес-конференція, свято, ювілей і т. д., у другому – про створення такого роду подій, які самі по собі цікаві засобам масової інформації, і чий «</w:t>
      </w:r>
      <w:proofErr w:type="spellStart"/>
      <w:r w:rsidRPr="00425F1B">
        <w:rPr>
          <w:rFonts w:ascii="Times New Roman" w:hAnsi="Times New Roman"/>
          <w:sz w:val="24"/>
          <w:szCs w:val="24"/>
          <w:lang w:val="uk-UA" w:eastAsia="uk-UA"/>
        </w:rPr>
        <w:t>просуваючий</w:t>
      </w:r>
      <w:proofErr w:type="spellEnd"/>
      <w:r w:rsidRPr="00425F1B">
        <w:rPr>
          <w:rFonts w:ascii="Times New Roman" w:hAnsi="Times New Roman"/>
          <w:sz w:val="24"/>
          <w:szCs w:val="24"/>
          <w:lang w:val="uk-UA" w:eastAsia="uk-UA"/>
        </w:rPr>
        <w:t>» характер не очевидний для цільових аудиторій.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Психологія реклами – галузь знання, яка вивчає психічні процеси, що сприяють взаємодії рекламодавця і споживача з метою ефективного задоволення попиту останнього.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Психологи переорієнтувалися на процеси споживчо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го вибору та прийняття рішень, оскільки маніпулювати волею споживача стало небезпечною і економічно неви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гідною справою. Це спричинило тенденцію перетворення сучасної психології реклами на нову дис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ципліну – психологію маркетингових комунікацій.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Сучасна психологія реклами вивчає психологічні особливості не тільки споживача, а й рекламодавця, який через різноманітні суб’єктивні причини може при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 xml:space="preserve">пускатися серйозних </w:t>
      </w:r>
      <w:r w:rsidRPr="00425F1B">
        <w:rPr>
          <w:rFonts w:ascii="Times New Roman" w:hAnsi="Times New Roman"/>
          <w:sz w:val="24"/>
          <w:szCs w:val="24"/>
          <w:lang w:val="uk-UA"/>
        </w:rPr>
        <w:lastRenderedPageBreak/>
        <w:t>помилок у рекламуванні продукції, послуг, що призводить до нерозуміння чи неприй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няття реклами. Тому рекламну діяльність розглядають як форму діалогу між рекламодавцем і споживачем, невід’ємними атрибутами якого є такі соціально-психологічні компоненти, як зворотний зв’язок, взаєморозуміння, які впливають на ефективність реклами. Сучасна реклама не впливає на волю споживача, а підсилює потребу, допомагає йому зробити вибір [38].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За ринкових відносин реклама є невід’ємною части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ною життєдіяльності організації. Основу її становить філософія спілкування фірми з клієнтом, взаємодії між людьми. Реклама популяризує марку фірми, її товари, послуги, видовища тощо за допомогою засобів масової інформації, різноманітної друкованої продукції, електронних носіїв. Рекламна справа в організації передба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чає наявність виробника продукції, послуги (рекламо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давця) і споживача, який на основі реклами приймає рішення про купівлю товару або використання послуги.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Загалом реклама має на меті: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- доведення до відома споживачів інформації про існування певних товарів і послуг, можливості отримання їх за певною ціною та ін.;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- стимулювання роздумів про товари і послуги з наведенням аргументів на їх користь (раціональна реклама);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- стимулювання відчуття потреби в конкретних товарах, послугах (асоціативна реклама).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При цьому важливо чітко формулювати цілі рекла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ми, намагаючись, щоб вони мали кількісні виміри, що дало б змогу об’єктивно їх оцінювати.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З огляду на сферу функціонування, завдання, мету виокремлюють такі види реклами [38].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Реклама всередині організації. Завдання її полягає у зміцненні віри співробітників у власне підприємство, зародження й утвердження в їх свідомості почуття тісного зв’язку власного життя із життєдіяльністю організації.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 xml:space="preserve">Реклама з метою створення престижу організації. Завдання її полягає у позиціюванні організації в зовнішньому середовищі, успішне вирішення якого позитивно позначається на її ринкових позиціях, а також і на </w:t>
      </w:r>
      <w:proofErr w:type="spellStart"/>
      <w:r w:rsidRPr="00425F1B">
        <w:rPr>
          <w:rFonts w:ascii="Times New Roman" w:hAnsi="Times New Roman"/>
          <w:sz w:val="24"/>
          <w:szCs w:val="24"/>
          <w:lang w:val="uk-UA"/>
        </w:rPr>
        <w:t>внутріорганізаційному</w:t>
      </w:r>
      <w:proofErr w:type="spellEnd"/>
      <w:r w:rsidRPr="00425F1B">
        <w:rPr>
          <w:rFonts w:ascii="Times New Roman" w:hAnsi="Times New Roman"/>
          <w:sz w:val="24"/>
          <w:szCs w:val="24"/>
          <w:lang w:val="uk-UA"/>
        </w:rPr>
        <w:t xml:space="preserve"> кліматі.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Реклама з метою розширення збуту продукції. Пе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редумовою її є глибоке вивчення ринку, що дає змогу оцінити гнучкість організації, оперативність її реагу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вання на зміни кон’юнктури ринку.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Планування рекламної кампанії. Організація його передбачає з’ясування мети, результатів, термінів, вар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тості, розмірів асигнування, визначення засобів масової комунікації, відповідальних за її створення, просуван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ня, аудиторії, на яку вона розрахована.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Планування охоплює такі етапи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– аналіз маркетингової ситуації;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– визначення цілей рекламної кампанії;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– вивчення споживчих характеристик товарів (послуг);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– визначення аудиторії;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– формулювання завдань комунікативної діяльності (стратегія комунікацій, комунікативні засоби розповсюдження реклами);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– вибір рекламних аргументів;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– вибір стратегії дій, підбір осіб, які створюватимуть та розповсюджуватимуть рекламу тощо;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– передбачення засобів розширення меж рекламної кампанії;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– складання кошторису витрат на рекламу та контроль за його виконанням;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– визначення засобів контролю за ефективністю реклами та рекламної політики;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– аналіз та оцінювання результатів рекламної кампанії.</w:t>
      </w: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Чітко спланована робота рекламної діяльності є запорукою успіху організації.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Контроль за ефективністю реклами. Він є важливим компонентом рекламної діяльності організації. Особли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ва його значущість на етапі попереднього випробування товару (послуги), тобто перед випуском їх на ринок та остаточним формуванням рекламного звернення, а також після випуску їх на ринок й оприлюднення рекламного повідомлення.</w:t>
      </w:r>
    </w:p>
    <w:p w:rsid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Ефективність реклами залежить від відчуття міри її авторів, ефективності комунікативного засобу, часу ви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ходу реклами тощо. Готуючи рекламне повідомлення, потрібно враховувати ефект сприймання. Йдеться, нап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 xml:space="preserve">риклад, про “ефект краю”, який ґрунтується на тому, що найсильніші аргументи, найважливіша інформація, вміщені на </w:t>
      </w:r>
      <w:r w:rsidRPr="00425F1B">
        <w:rPr>
          <w:rFonts w:ascii="Times New Roman" w:hAnsi="Times New Roman"/>
          <w:sz w:val="24"/>
          <w:szCs w:val="24"/>
          <w:lang w:val="uk-UA"/>
        </w:rPr>
        <w:lastRenderedPageBreak/>
        <w:t>початку та наприкінці повідомлення, запам’ятовуються краще, ніж ті, що всередині. Психологічний вплив залежить не тільки від розмірів оголошень, а й від геометричної форми, поєднання кольорів, співвідношення текстового матеріалу і графіки тощо.</w:t>
      </w:r>
    </w:p>
    <w:p w:rsid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5F1B">
        <w:rPr>
          <w:rFonts w:ascii="Times New Roman" w:hAnsi="Times New Roman"/>
          <w:sz w:val="24"/>
          <w:szCs w:val="24"/>
          <w:lang w:val="uk-UA"/>
        </w:rPr>
        <w:t>Відомо також, що ефект психологічного впливу реклам</w:t>
      </w:r>
      <w:r w:rsidRPr="00425F1B">
        <w:rPr>
          <w:rFonts w:ascii="Times New Roman" w:hAnsi="Times New Roman"/>
          <w:sz w:val="24"/>
          <w:szCs w:val="24"/>
          <w:lang w:val="uk-UA"/>
        </w:rPr>
        <w:softHyphen/>
        <w:t>ної кампанії на читача зумовлюють не розміри рекламного оголошення, а співвідношення оптимальної площі та кількості публікацій. Психологи стверджують, що чим швидше і повніше людина сприймає рекламне оголошення, тим воно ефективніше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25F1B" w:rsidRPr="00425F1B" w:rsidRDefault="00425F1B" w:rsidP="00425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Нейромаркетинг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це комплекс знань, які вивчають реакцію людини на маркетинг.</w:t>
      </w:r>
    </w:p>
    <w:p w:rsid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5F1B" w:rsidRPr="00425F1B" w:rsidRDefault="00425F1B" w:rsidP="00425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25F1B" w:rsidRPr="00425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4DC5"/>
    <w:multiLevelType w:val="multilevel"/>
    <w:tmpl w:val="8EB4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16B1E"/>
    <w:multiLevelType w:val="multilevel"/>
    <w:tmpl w:val="6A5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B65FA"/>
    <w:multiLevelType w:val="multilevel"/>
    <w:tmpl w:val="CC0C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74C02"/>
    <w:multiLevelType w:val="hybridMultilevel"/>
    <w:tmpl w:val="5E86D9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F056F"/>
    <w:multiLevelType w:val="multilevel"/>
    <w:tmpl w:val="3FC8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C3C0E"/>
    <w:multiLevelType w:val="hybridMultilevel"/>
    <w:tmpl w:val="4B22C5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389"/>
    <w:multiLevelType w:val="multilevel"/>
    <w:tmpl w:val="36F6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A1706"/>
    <w:multiLevelType w:val="hybridMultilevel"/>
    <w:tmpl w:val="DCC03F3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265323"/>
    <w:multiLevelType w:val="multilevel"/>
    <w:tmpl w:val="7E3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94AA1"/>
    <w:multiLevelType w:val="multilevel"/>
    <w:tmpl w:val="85EC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641BA"/>
    <w:multiLevelType w:val="multilevel"/>
    <w:tmpl w:val="85D6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D522F"/>
    <w:multiLevelType w:val="multilevel"/>
    <w:tmpl w:val="4E8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02164"/>
    <w:multiLevelType w:val="multilevel"/>
    <w:tmpl w:val="7D04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D4"/>
    <w:rsid w:val="00013C45"/>
    <w:rsid w:val="00425F1B"/>
    <w:rsid w:val="0091130A"/>
    <w:rsid w:val="00A269C3"/>
    <w:rsid w:val="00C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E78C"/>
  <w15:chartTrackingRefBased/>
  <w15:docId w15:val="{5AD392E6-0F1E-4E0E-86CA-88BAB5A5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color w:val="202124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1D4"/>
    <w:pPr>
      <w:spacing w:after="200" w:line="276" w:lineRule="auto"/>
    </w:pPr>
    <w:rPr>
      <w:rFonts w:ascii="Calibri" w:eastAsia="Times New Roman" w:hAnsi="Calibri"/>
      <w:smallCaps w:val="0"/>
      <w:color w:val="auto"/>
      <w:sz w:val="22"/>
      <w:szCs w:val="22"/>
      <w:lang w:val="ru-RU"/>
    </w:rPr>
  </w:style>
  <w:style w:type="paragraph" w:styleId="2">
    <w:name w:val="heading 2"/>
    <w:basedOn w:val="a"/>
    <w:link w:val="20"/>
    <w:uiPriority w:val="9"/>
    <w:qFormat/>
    <w:rsid w:val="00425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F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425F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25F1B"/>
    <w:rPr>
      <w:rFonts w:eastAsia="Times New Roman"/>
      <w:b/>
      <w:bCs/>
      <w:smallCaps w:val="0"/>
      <w:color w:val="auto"/>
      <w:sz w:val="36"/>
      <w:szCs w:val="36"/>
      <w:lang w:eastAsia="uk-UA"/>
    </w:rPr>
  </w:style>
  <w:style w:type="character" w:styleId="a5">
    <w:name w:val="Strong"/>
    <w:basedOn w:val="a0"/>
    <w:uiPriority w:val="22"/>
    <w:qFormat/>
    <w:rsid w:val="00425F1B"/>
    <w:rPr>
      <w:b/>
      <w:bCs/>
    </w:rPr>
  </w:style>
  <w:style w:type="character" w:styleId="a6">
    <w:name w:val="Hyperlink"/>
    <w:basedOn w:val="a0"/>
    <w:uiPriority w:val="99"/>
    <w:semiHidden/>
    <w:unhideWhenUsed/>
    <w:rsid w:val="00425F1B"/>
    <w:rPr>
      <w:color w:val="0000FF"/>
      <w:u w:val="single"/>
    </w:rPr>
  </w:style>
  <w:style w:type="character" w:customStyle="1" w:styleId="a2alabel">
    <w:name w:val="a2a_label"/>
    <w:basedOn w:val="a0"/>
    <w:rsid w:val="00425F1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5F1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425F1B"/>
    <w:rPr>
      <w:rFonts w:ascii="Arial" w:eastAsia="Times New Roman" w:hAnsi="Arial" w:cs="Arial"/>
      <w:smallCaps w:val="0"/>
      <w:vanish/>
      <w:color w:val="auto"/>
      <w:sz w:val="16"/>
      <w:szCs w:val="16"/>
      <w:lang w:eastAsia="uk-UA"/>
    </w:rPr>
  </w:style>
  <w:style w:type="character" w:customStyle="1" w:styleId="screen-reader-text">
    <w:name w:val="screen-reader-text"/>
    <w:basedOn w:val="a0"/>
    <w:rsid w:val="00425F1B"/>
  </w:style>
  <w:style w:type="character" w:customStyle="1" w:styleId="nv-search-icon-wrap">
    <w:name w:val="nv-search-icon-wrap"/>
    <w:basedOn w:val="a0"/>
    <w:rsid w:val="00425F1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5F1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425F1B"/>
    <w:rPr>
      <w:rFonts w:ascii="Arial" w:eastAsia="Times New Roman" w:hAnsi="Arial" w:cs="Arial"/>
      <w:smallCaps w:val="0"/>
      <w:vanish/>
      <w:color w:val="auto"/>
      <w:sz w:val="16"/>
      <w:szCs w:val="16"/>
      <w:lang w:eastAsia="uk-UA"/>
    </w:rPr>
  </w:style>
  <w:style w:type="paragraph" w:customStyle="1" w:styleId="widget-title">
    <w:name w:val="widget-title"/>
    <w:basedOn w:val="a"/>
    <w:rsid w:val="00425F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cn-text-container">
    <w:name w:val="cn-text-container"/>
    <w:basedOn w:val="a0"/>
    <w:rsid w:val="00425F1B"/>
  </w:style>
  <w:style w:type="character" w:customStyle="1" w:styleId="cn-buttons-container">
    <w:name w:val="cn-buttons-container"/>
    <w:basedOn w:val="a0"/>
    <w:rsid w:val="00425F1B"/>
  </w:style>
  <w:style w:type="paragraph" w:styleId="a7">
    <w:name w:val="List Paragraph"/>
    <w:basedOn w:val="a"/>
    <w:uiPriority w:val="34"/>
    <w:qFormat/>
    <w:rsid w:val="0042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04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3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5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3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3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97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978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0382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9205</Words>
  <Characters>5247</Characters>
  <Application>Microsoft Office Word</Application>
  <DocSecurity>0</DocSecurity>
  <Lines>43</Lines>
  <Paragraphs>28</Paragraphs>
  <ScaleCrop>false</ScaleCrop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2023-10-28T15:40:00Z</dcterms:created>
  <dcterms:modified xsi:type="dcterms:W3CDTF">2023-10-29T12:05:00Z</dcterms:modified>
</cp:coreProperties>
</file>