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Практична робота «Кредитування підприємства»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Віктор  отримав  кредит  у  кредитній  спілці  на  6  місяців  у  сумі  2  200  грн  на придбання телевізора. Річна процентна ставка становила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*%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(Ваш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порядковий номер у журналі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 Погашення кредиту має відбутися наприкінці строку, проте в кредитній угоді зазначено, що процентні платежі за кредитом потрібно сплачувати щомісячно. Розрахуйте щомісячні процентні платежі та загальну суму процентних платежів, які має сплатити Віктор.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Надія вирішила взяти кредит у банку на два роки в сумі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грн. Їй пропонують декілька  варіантів  кредитування.  Перший  варіант  –  фіксована  процентна  ставка  36%  річних.  Погашення  кредиту  наприкінці  строку.  Другий  варіант  –  плаваюча процентна ставка, що базується на 6-місячному UIRD із щопіврічним переглядом умов. 6-місячний UIRD на дату укладення угоди становить 14,14%. Маржа банку становить 20%. Сплата процентних платежів щопіврічна, погашення кредиту наприкінці строку.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Надія обрала другий варіант – з плаваючою процентною ставкою. У результаті було зафіксовано такі значення 6-місячного UIRD у відповідні дати перегляду процентної ставки: 14,56%, 15,12%, 16,49%. Чи правильно вчинила Надія, що обрала кредит з  плаваючою процентною ставкою з точки зору мінімізації витрат за кредитом?</w:t>
      </w:r>
    </w:p>
    <w:tbl>
      <w:tblPr>
        <w:tblStyle w:val="Table1"/>
        <w:tblW w:w="10344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  <w:gridCol w:w="862"/>
        <w:gridCol w:w="867"/>
        <w:tblGridChange w:id="0">
          <w:tblGrid>
            <w:gridCol w:w="861"/>
            <w:gridCol w:w="861"/>
            <w:gridCol w:w="861"/>
            <w:gridCol w:w="861"/>
            <w:gridCol w:w="861"/>
            <w:gridCol w:w="862"/>
            <w:gridCol w:w="862"/>
            <w:gridCol w:w="862"/>
            <w:gridCol w:w="862"/>
            <w:gridCol w:w="862"/>
            <w:gridCol w:w="862"/>
            <w:gridCol w:w="867"/>
          </w:tblGrid>
        </w:tblGridChange>
      </w:tblGrid>
      <w:tr>
        <w:trPr>
          <w:trHeight w:val="283" w:hRule="atLeast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Варіант вихідних даних - 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trHeight w:val="670" w:hRule="atLeast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 тис.грн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 тис.грн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 тис.грн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 тис.грн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тис.грн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 тис.грн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 тис.грн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 тис.грн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 тис.грн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 тис.грн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тис.грн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 тис.грн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Артем  має  обрати  метод  виплати  кредиту.  Йому  потрібно  180  000  грн.  Банк пропонує два варіанти виплат: класичний і ануїтетний. За класичним методом виплати кредиту процентна ставка становитиме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*%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 за ануїтетним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 *%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річних. Строк кредиту – 9 місяців. Який метод виплати кредиту обрати Артему?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Вихідні дані</w:t>
      </w:r>
    </w:p>
    <w:tbl>
      <w:tblPr>
        <w:tblStyle w:val="Table2"/>
        <w:tblW w:w="99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4678"/>
        <w:gridCol w:w="3839"/>
        <w:tblGridChange w:id="0">
          <w:tblGrid>
            <w:gridCol w:w="1384"/>
            <w:gridCol w:w="4678"/>
            <w:gridCol w:w="3839"/>
          </w:tblGrid>
        </w:tblGridChange>
      </w:tblGrid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Варіант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Процентна ставка за класичним методом виплати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Процентна ставка за ануїтетним методом виплати</w:t>
            </w:r>
          </w:p>
        </w:tc>
      </w:tr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18,5</w:t>
            </w:r>
          </w:p>
        </w:tc>
      </w:tr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16,5</w:t>
            </w:r>
          </w:p>
        </w:tc>
      </w:tr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17,5</w:t>
            </w:r>
          </w:p>
        </w:tc>
      </w:tr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24,5</w:t>
            </w:r>
          </w:p>
        </w:tc>
      </w:tr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18,5</w:t>
            </w:r>
          </w:p>
        </w:tc>
      </w:tr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16,5</w:t>
            </w:r>
          </w:p>
        </w:tc>
      </w:tr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17,5</w:t>
            </w:r>
          </w:p>
        </w:tc>
      </w:tr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24,5</w:t>
            </w:r>
          </w:p>
        </w:tc>
      </w:tr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17,5</w:t>
            </w:r>
          </w:p>
        </w:tc>
      </w:tr>
      <w:tr>
        <w:trPr>
          <w:trHeight w:val="126" w:hRule="atLeast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851" w:header="851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oZBEnkpYbWzaXsq1rzsQFQ0Hg==">AMUW2mXYsymGgsxrqImLhfgqytzr1bV1GhBzuwkTht/GWd4mKmbkimPdrHYh8wVRBhRZAdTy7v1y33V4UxDZbTKiF3MLpiF7LcZ0+BHKnmmbVyWp1x83LKI=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2021-04-06T17:24:00Z</dcterms:created>
  <dc:creator>OneD</dc:creator>
</cp:coreProperties>
</file>