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9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Фінансове забезпечення відтворення основних засобів підприємства</w:t>
      </w:r>
      <w:r w:rsidDel="00000000" w:rsidR="00000000" w:rsidRPr="00000000">
        <w:rPr>
          <w:rtl w:val="0"/>
        </w:rPr>
      </w:r>
    </w:p>
    <w:p w:rsidR="00000000" w:rsidDel="00000000" w:rsidP="00000000" w:rsidRDefault="00000000" w:rsidRPr="00000000" w14:paraId="00000003">
      <w:pPr>
        <w:pageBreakBefore w:val="0"/>
        <w:widowControl w:val="1"/>
        <w:tabs>
          <w:tab w:val="left" w:pos="284"/>
          <w:tab w:val="left" w:pos="960"/>
        </w:tabs>
        <w:spacing w:line="240" w:lineRule="auto"/>
        <w:ind w:firstLine="567"/>
        <w:rPr>
          <w:sz w:val="28"/>
          <w:szCs w:val="28"/>
          <w:vertAlign w:val="baseline"/>
        </w:rPr>
      </w:pPr>
      <w:r w:rsidDel="00000000" w:rsidR="00000000" w:rsidRPr="00000000">
        <w:rPr>
          <w:sz w:val="28"/>
          <w:szCs w:val="28"/>
          <w:vertAlign w:val="baseline"/>
          <w:rtl w:val="0"/>
        </w:rPr>
        <w:t xml:space="preserve">1. Основні засоби, їхня структура</w:t>
      </w:r>
    </w:p>
    <w:p w:rsidR="00000000" w:rsidDel="00000000" w:rsidP="00000000" w:rsidRDefault="00000000" w:rsidRPr="00000000" w14:paraId="00000004">
      <w:pPr>
        <w:pageBreakBefore w:val="0"/>
        <w:widowControl w:val="1"/>
        <w:tabs>
          <w:tab w:val="left" w:pos="284"/>
          <w:tab w:val="left" w:pos="960"/>
        </w:tabs>
        <w:spacing w:line="240" w:lineRule="auto"/>
        <w:ind w:firstLine="567"/>
        <w:rPr>
          <w:sz w:val="28"/>
          <w:szCs w:val="28"/>
          <w:vertAlign w:val="baseline"/>
        </w:rPr>
      </w:pPr>
      <w:r w:rsidDel="00000000" w:rsidR="00000000" w:rsidRPr="00000000">
        <w:rPr>
          <w:sz w:val="28"/>
          <w:szCs w:val="28"/>
          <w:vertAlign w:val="baseline"/>
          <w:rtl w:val="0"/>
        </w:rPr>
        <w:t xml:space="preserve">2. Показники ефективності використання основних засобів.</w:t>
      </w:r>
    </w:p>
    <w:p w:rsidR="00000000" w:rsidDel="00000000" w:rsidP="00000000" w:rsidRDefault="00000000" w:rsidRPr="00000000" w14:paraId="00000005">
      <w:pPr>
        <w:pageBreakBefore w:val="0"/>
        <w:widowControl w:val="1"/>
        <w:tabs>
          <w:tab w:val="left" w:pos="284"/>
          <w:tab w:val="left" w:pos="960"/>
        </w:tabs>
        <w:spacing w:line="240" w:lineRule="auto"/>
        <w:ind w:firstLine="567"/>
        <w:rPr>
          <w:sz w:val="28"/>
          <w:szCs w:val="28"/>
          <w:vertAlign w:val="baseline"/>
        </w:rPr>
      </w:pPr>
      <w:r w:rsidDel="00000000" w:rsidR="00000000" w:rsidRPr="00000000">
        <w:rPr>
          <w:sz w:val="28"/>
          <w:szCs w:val="28"/>
          <w:vertAlign w:val="baseline"/>
          <w:rtl w:val="0"/>
        </w:rPr>
        <w:t xml:space="preserve">3. Знос та амортизація основних засобів.</w:t>
      </w:r>
    </w:p>
    <w:p w:rsidR="00000000" w:rsidDel="00000000" w:rsidP="00000000" w:rsidRDefault="00000000" w:rsidRPr="00000000" w14:paraId="00000006">
      <w:pPr>
        <w:pageBreakBefore w:val="0"/>
        <w:widowControl w:val="1"/>
        <w:tabs>
          <w:tab w:val="left" w:pos="284"/>
          <w:tab w:val="left" w:pos="960"/>
        </w:tabs>
        <w:spacing w:line="240" w:lineRule="auto"/>
        <w:ind w:firstLine="567"/>
        <w:rPr>
          <w:sz w:val="28"/>
          <w:szCs w:val="28"/>
          <w:vertAlign w:val="baseline"/>
        </w:rPr>
      </w:pPr>
      <w:r w:rsidDel="00000000" w:rsidR="00000000" w:rsidRPr="00000000">
        <w:rPr>
          <w:sz w:val="28"/>
          <w:szCs w:val="28"/>
          <w:vertAlign w:val="baseline"/>
          <w:rtl w:val="0"/>
        </w:rPr>
        <w:t xml:space="preserve">4. Капітальні вкладення підприємства як засіб відтворення основних фондів.</w:t>
      </w:r>
    </w:p>
    <w:p w:rsidR="00000000" w:rsidDel="00000000" w:rsidP="00000000" w:rsidRDefault="00000000" w:rsidRPr="00000000" w14:paraId="00000007">
      <w:pPr>
        <w:pageBreakBefore w:val="0"/>
        <w:widowControl w:val="1"/>
        <w:tabs>
          <w:tab w:val="left" w:pos="284"/>
          <w:tab w:val="left" w:pos="960"/>
        </w:tabs>
        <w:spacing w:line="240" w:lineRule="auto"/>
        <w:ind w:firstLine="567"/>
        <w:rPr>
          <w:sz w:val="28"/>
          <w:szCs w:val="28"/>
          <w:vertAlign w:val="baseline"/>
        </w:rPr>
      </w:pPr>
      <w:r w:rsidDel="00000000" w:rsidR="00000000" w:rsidRPr="00000000">
        <w:rPr>
          <w:sz w:val="28"/>
          <w:szCs w:val="28"/>
          <w:vertAlign w:val="baseline"/>
          <w:rtl w:val="0"/>
        </w:rPr>
        <w:t xml:space="preserve">5. Джерела та порядок фінансування капітальних вкладень.</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Підвищення ефективності використання основних засобів підприємств є одним з основних питань у період переходу до ринкових відносин. Від вирішення цієї проблеми залежить фінансовий стан підприємства, конкурентоспроможність його продукції на ринку.</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Основні засоби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матеріальні </w:t>
      </w:r>
      <w:hyperlink r:id="r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 підприємство утримує з метою використання їх у процесі виробництва чи поставки товарів, надання послуг, здачі в оренду іншим особам чи для виконання адміністративних і соціально-культурних функцій, і поступово зменшується у зв'язку з фізичним або моральним зносом та очікуваний строк корисного використання (експлуатації) яких з дати введення в експлуатацію становить понад один рік (або операційний цикл, якщо він довший за рік).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Відповідно до діючої типової класифікації основних засобів — групуються залежно від функціонального призначення, галузевої належності, речовинно-натурального складу тощо.</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Залежно від функціонального призначення основні засоби поділяються на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виробничі та невиробничі.</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Виробничі основні засоби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засоби, які безпосередньо беруть участь у виробничому процесі або сприяють його здійсненню. До них належать будівлі, споруди, силові машини та устаткування, передавальні пристрої, транспортні засоби, робоча худоба, багаторічні насадження, інші основні засоби, що діють у сфері матеріального виробництва.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Невиробничі основні засоби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засоби, що не беруть безпосередньої або побічної участі у процесі виробництва та передбачені для обслуговування потреб житлово-комунального господарства, охорони здоров'я, освіти, культури. До них належать споруди, будівлі, машини, обладнання, апарати та інші засоби, що використовуються в невиробничій сфері.</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 галузевою належністю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основні засоби поділяються на засоби промисловості, будівництва, сільського господарства, транспорту, зв'язку та ін.</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 натурально-речовинним складом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основні виробничі засоби поділяються на будівлі, споруди, передавальні пристрої, машини та обладнання, транспортні засоби, інструменти і приладдя, виробничий та господарський інвентар, робочу та продуктивну худобу, багаторічні насадження; капітальні витрати на поліпшення земель, інші основні засоби.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 метою визначення розміру амортизаційних відрахувань основні засоби поділяються на:</w:t>
      </w:r>
      <w:r w:rsidDel="00000000" w:rsidR="00000000" w:rsidRPr="00000000">
        <w:rPr>
          <w:rtl w:val="0"/>
        </w:rPr>
      </w:r>
    </w:p>
    <w:tbl>
      <w:tblPr>
        <w:tblStyle w:val="Table1"/>
        <w:tblW w:w="9183.0" w:type="dxa"/>
        <w:jc w:val="left"/>
        <w:tblInd w:w="0.0" w:type="dxa"/>
        <w:tblLayout w:type="fixed"/>
        <w:tblLook w:val="0000"/>
      </w:tblPr>
      <w:tblGrid>
        <w:gridCol w:w="6843"/>
        <w:gridCol w:w="2235"/>
        <w:gridCol w:w="105"/>
        <w:tblGridChange w:id="0">
          <w:tblGrid>
            <w:gridCol w:w="6843"/>
            <w:gridCol w:w="2235"/>
            <w:gridCol w:w="1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Мінімально допустимі терміни корисного використання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1 - земельні ділянки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2 - капітальні витрати на поліпшення земель, не пов'язані з будівництвом</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3 - будівлі,</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споруди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передавальні пристрої</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4 - машини та обладнання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них: 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які визнаються нематеріальним активом), інші інформаційні системи, комутатори, маршрутизатори, модулі, модеми, джерела безперебійного живлення та засоби їх підключення до телекомунікаційних мереж, телефони (в тому числі стільникові), мікрофони і рації, вартість яких перевищує 2500 гривень</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5 - транспортні засоби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6 - інструменти, прилади,інвентар (меблі)</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7 - тварини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8 - багаторічні насадження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9 - інші основні засоби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13 - природні ресурси</w:t>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14 - інвентарна тара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15 - предмети прокату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група 16 - довгострокові біологічні активи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Співвідношення окремих груп основних виробничих засобів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становить їх структуру.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Поліпшення структури основних виробничих засобів, передусім підвищення питомої ваги активної їх частини, сприяє зростанню виробництва, зниженню собівартості продукції, збільшенню грошових нагромаджень підприємства. В структурі основних засобів виділяють пасивну та активну їх частини. Підприємству не байдуже, в яку групу основних виробничих засобів укладати кошти. Воно зацікавлене в оптимальному підвищенні  питомої  ваги  машин,  устаткування, тобто  активної частини основних засобів, які обслуговують процес виробництва і характеризують виробничі можливості підприємства. Зрозуміло, що для забезпечення нормального функціонування активних елементів основних виробничих засобів необхідні будівлі, споруди, інвентар, тобто пасивна частина основних засобів.</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0" style="width:311pt;height:236pt" type="#_x0000_t75">
            <v:imagedata r:id="rId1" o:title=""/>
          </v:shape>
          <o:OLEObject DrawAspect="Content" r:id="rId2" ObjectID="_1030969008" ProgID="Word.Picture.6" ShapeID="_x0000_s0" Type="Embed"/>
        </w:pic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факторами, які впливають на структуру основних виробничих засобів підприємств, є: рівень автоматизації і механізації, рівень спеціалізації і кооперування, кліматичні та географічні умови розміщення підприємств. Кожний фактор по-різному впливає на структуру виробничих засобів. Поліпшити структуру основних виробничих засобів можна за рахунок: оновлення та модернізації устаткування, ефективнішого використання виробничих приміщень установленням додаткового устаткування на вільній площі; ліквідації зайвого й малоефективного устаткування.</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Відтворення основних виробничих засобів — це процес безперервного їх поновлення. Розрізняють просте та розширене відтворення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Просте відтворення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основних засобів здійснюється в тому самому обсязі, коли відбувається заміна окремих зношених частин основних засобів або заміна старого устаткування на аналогічне, тобто тоді, коли постійно відновлюється попередня виробнича потужність. Просте відтворення основних виробничих засобів здійснюється у двох формах: 1) заміна зношених або застарілих основних виробничих засобів; 2) капітальний ремонт діючих основних засобів.</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Розширене відтворення</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передбачає кількісне та якісне збільшення діючих основних засобів або придбання нових основних засобів, які забезпечують вищий рівень продуктивності устаткування.</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Процес відтворення основних виробничих засобів має низку характерних ознак, зокрема:</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основні виробничі засоби поступово переносять свою вартість на вироблену продукцію;</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 процесі відтворення основних виробничих засобів одночасно відбувається рух їхньої споживної вартості та вартості;</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нарахуванням амортизаційних відрахувань здійснюється нагромадженням в грошовій формі частково перенесеної вартості основних виробничих засобів на готову продукцію;</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основні виробничі засоби поновлюються в натуральній формі протягом тривалого часу, що створює можливість маневрувати коштами амортизаційного фонду.</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Необхідність оновлення основних виробничих засобів за ринкових відносин визначається передовсім конкуренцією товаровиробників. Саме конкуренція спонукує підприємства здійснювати прискорене списання основних виробничих засобів з метою нагромадження фінансових ресурсів для наступного вкладання коштів у придбання більш прогресивного устаткування, впровадження нових технологій та іншого поліпшення основних виробничих </w:t>
        <w:br w:type="textWrapping"/>
        <w:t xml:space="preserve">засобів.</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Стан основних виробничих засобів характеризують через такі коефіцієнти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зносу основних засобів; придатності; оновлення; вибуття (приросту) основних засобів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Коефіцієнт зносу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характеризує частку вартості основних засобів, що її списано на витрати виробництва в попередніх періодах. Коефіцієнт зносу визначається відношенням суми зносу основних засобів до балансової вартості основних засобів.</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Pr>
        <w:pict>
          <v:shape id="_x0000_s1" style="width:56pt;height:34pt" type="#_x0000_t75">
            <v:imagedata r:id="rId3" o:title=""/>
          </v:shape>
          <o:OLEObject DrawAspect="Content" r:id="rId4" ObjectID="_959515911" ProgID="Equation.2" ShapeID="_x0000_s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2"/>
        <w:tblW w:w="8008.0" w:type="dxa"/>
        <w:jc w:val="left"/>
        <w:tblInd w:w="0.0" w:type="dxa"/>
        <w:tblLayout w:type="fixed"/>
        <w:tblLook w:val="0000"/>
      </w:tblPr>
      <w:tblGrid>
        <w:gridCol w:w="1063"/>
        <w:gridCol w:w="6945"/>
        <w:tblGridChange w:id="0">
          <w:tblGrid>
            <w:gridCol w:w="1063"/>
            <w:gridCol w:w="6945"/>
          </w:tblGrid>
        </w:tblGridChange>
      </w:tblGrid>
      <w:tr>
        <w:trPr>
          <w:cantSplit w:val="0"/>
          <w:tblHeader w:val="0"/>
        </w:trPr>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w:t>
            </w: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зносу основних засобів;</w:t>
            </w:r>
          </w:p>
        </w:tc>
      </w:tr>
      <w:tr>
        <w:trPr>
          <w:cantSplit w:val="0"/>
          <w:trHeight w:val="591.97265625" w:hRule="atLeast"/>
          <w:tblHeader w:val="0"/>
        </w:trPr>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w:t>
            </w: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сума зносу основних засобів;</w:t>
            </w:r>
          </w:p>
        </w:tc>
      </w:tr>
      <w:tr>
        <w:trPr>
          <w:cantSplit w:val="0"/>
          <w:tblHeader w:val="0"/>
        </w:trPr>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к</w:t>
            </w:r>
            <w:r w:rsidDel="00000000" w:rsidR="00000000" w:rsidRPr="00000000">
              <w:rPr>
                <w:rtl w:val="0"/>
              </w:rPr>
            </w:r>
          </w:p>
        </w:tc>
        <w:tc>
          <w:tcPr>
            <w:tcBorders>
              <w:left w:color="000000" w:space="0" w:sz="0" w:val="nil"/>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балансова вартість основних засобів.</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 зносу основних засобів може визначатись також у відсотках на початок і на кінець звітного періоду і дає змогу оцінити стан основних засобів.</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Коефіцієнт придатності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основних засобів розраховується за формулами: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 –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або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bl>
      <w:tblPr>
        <w:tblStyle w:val="Table3"/>
        <w:tblW w:w="9426.0" w:type="dxa"/>
        <w:jc w:val="left"/>
        <w:tblInd w:w="0.0" w:type="dxa"/>
        <w:tblLayout w:type="fixed"/>
        <w:tblLook w:val="0000"/>
      </w:tblPr>
      <w:tblGrid>
        <w:gridCol w:w="1630"/>
        <w:gridCol w:w="7796"/>
        <w:tblGridChange w:id="0">
          <w:tblGrid>
            <w:gridCol w:w="1630"/>
            <w:gridCol w:w="7796"/>
          </w:tblGrid>
        </w:tblGridChange>
      </w:tblGrid>
      <w:tr>
        <w:trPr>
          <w:cantSplit w:val="0"/>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п</w:t>
            </w: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придатності основних засобів;</w:t>
            </w:r>
          </w:p>
        </w:tc>
      </w:tr>
      <w:tr>
        <w:trPr>
          <w:cantSplit w:val="0"/>
          <w:tblHeader w:val="0"/>
        </w:trPr>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w:t>
            </w: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зносу основних засобів.</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Коефіцієнт придатності показує, яка частина основних засобів придатна для експлуатації в процесі господарської діяльності.</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Коефіцієнти оновлення та вибуття розраховуються за формулами:</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2" style="width:45pt;height:33pt" type="#_x0000_t75">
            <v:imagedata r:id="rId5" o:title=""/>
          </v:shape>
          <o:OLEObject DrawAspect="Content" r:id="rId6" ObjectID="_956135572" ProgID="Equation.2" ShapeID="_x0000_s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3" style="width:49pt;height:36pt" type="#_x0000_t75">
            <v:imagedata r:id="rId7" o:title=""/>
          </v:shape>
          <o:OLEObject DrawAspect="Content" r:id="rId8" ObjectID="_956135571" ProgID="Equation.2" ShapeID="_x0000_s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bl>
      <w:tblPr>
        <w:tblStyle w:val="Table4"/>
        <w:tblW w:w="9142.0" w:type="dxa"/>
        <w:jc w:val="left"/>
        <w:tblInd w:w="0.0" w:type="dxa"/>
        <w:tblLayout w:type="fixed"/>
        <w:tblLook w:val="0000"/>
      </w:tblPr>
      <w:tblGrid>
        <w:gridCol w:w="1204"/>
        <w:gridCol w:w="7938"/>
        <w:tblGridChange w:id="0">
          <w:tblGrid>
            <w:gridCol w:w="1204"/>
            <w:gridCol w:w="7938"/>
          </w:tblGrid>
        </w:tblGridChange>
      </w:tblGrid>
      <w:tr>
        <w:trPr>
          <w:cantSplit w:val="0"/>
          <w:tblHeader w:val="0"/>
        </w:trPr>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о</w:t>
            </w: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оновлення основних засобів;</w:t>
            </w:r>
          </w:p>
        </w:tc>
      </w:tr>
      <w:tr>
        <w:trPr>
          <w:cantSplit w:val="0"/>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у</w:t>
            </w: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вартість введених основних засобів за звітний період;</w:t>
            </w:r>
          </w:p>
        </w:tc>
      </w:tr>
      <w:tr>
        <w:trPr>
          <w:cantSplit w:val="0"/>
          <w:tblHeader w:val="0"/>
        </w:trPr>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в</w:t>
            </w: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вибуття основних засобів;</w:t>
            </w:r>
          </w:p>
        </w:tc>
      </w:tr>
      <w:tr>
        <w:trPr>
          <w:cantSplit w:val="0"/>
          <w:tblHeader w:val="0"/>
        </w:trPr>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в</w:t>
            </w:r>
            <w:r w:rsidDel="00000000" w:rsidR="00000000" w:rsidRPr="00000000">
              <w:rPr>
                <w:rtl w:val="0"/>
              </w:rPr>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вартість виведених основних засобів за звітний період.</w:t>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Коефіцієнт оновлення основних засобів характеризує інтенсивність уведення в дію нових основних засобів. Він показує частку введених основних засобів за визначений період у загальній вартості основних засобів на кінець звітного періоду.</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Коефіцієнт вибуття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показує інтенсивність вибуття основних засобів, тобто ступінь вибуття тих основних засобів, які або морально застаріли, або зношені й непридатні для дальшого використання. Позитивною в діяльності підприємства є ситуація, коли вартість введених у дію основних засобів перевищує вартість вибулих основних засобів. Для цього розраховується коефіцієнт приросту основних засобів.</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Pr>
        <w:pict>
          <v:shape id="_x0000_s4" style="width:79pt;height:39pt" type="#_x0000_t75">
            <v:imagedata r:id="rId9" o:title=""/>
          </v:shape>
          <o:OLEObject DrawAspect="Content" r:id="rId10" ObjectID="_956135570" ProgID="Equation.2" ShapeID="_x0000_s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До узагальнюючих показників, які характеризують ефективність використання основних засобів, належать</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фондовіддача, рентабельність основних засобів, сума прибутку на одну гривню основних засобів.</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 загальним показником, який характеризує ефективність використання основних засобів, є фондовіддача.</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Pr>
        <w:pict>
          <v:shape id="_x0000_s5" style="width:52pt;height:39pt" type="#_x0000_t75">
            <v:imagedata r:id="rId11" o:title=""/>
          </v:shape>
          <o:OLEObject DrawAspect="Content" r:id="rId12" ObjectID="_985586536" ProgID="Equation.2" ShapeID="_x0000_s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bl>
      <w:tblPr>
        <w:tblStyle w:val="Table5"/>
        <w:tblW w:w="9710.0" w:type="dxa"/>
        <w:jc w:val="left"/>
        <w:tblInd w:w="0.0" w:type="dxa"/>
        <w:tblLayout w:type="fixed"/>
        <w:tblLook w:val="0000"/>
      </w:tblPr>
      <w:tblGrid>
        <w:gridCol w:w="1772"/>
        <w:gridCol w:w="7938"/>
        <w:tblGridChange w:id="0">
          <w:tblGrid>
            <w:gridCol w:w="1772"/>
            <w:gridCol w:w="7938"/>
          </w:tblGrid>
        </w:tblGridChange>
      </w:tblGrid>
      <w:tr>
        <w:trPr>
          <w:cantSplit w:val="0"/>
          <w:tblHeader w:val="0"/>
        </w:trPr>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в</w:t>
            </w:r>
            <w:r w:rsidDel="00000000" w:rsidR="00000000" w:rsidRPr="00000000">
              <w:rPr>
                <w:rtl w:val="0"/>
              </w:rPr>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фондовіддача основних засобів;</w:t>
            </w:r>
          </w:p>
        </w:tc>
      </w:tr>
      <w:tr>
        <w:trPr>
          <w:cantSplit w:val="0"/>
          <w:tblHeader w:val="0"/>
        </w:trPr>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п</w:t>
            </w:r>
            <w:r w:rsidDel="00000000" w:rsidR="00000000" w:rsidRPr="00000000">
              <w:rPr>
                <w:rtl w:val="0"/>
              </w:rPr>
            </w:r>
          </w:p>
        </w:tc>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вартість виробленої продукції за звітний період;</w:t>
            </w:r>
          </w:p>
        </w:tc>
      </w:tr>
      <w:tr>
        <w:trPr>
          <w:cantSplit w:val="0"/>
          <w:tblHeader w:val="0"/>
        </w:trPr>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к</w:t>
            </w:r>
            <w:r w:rsidDel="00000000" w:rsidR="00000000" w:rsidRPr="00000000">
              <w:rPr>
                <w:rtl w:val="0"/>
              </w:rPr>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балансова вартість основних засобів на кінець звітного періоду.</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Відносним показником ефективності використання основних засобів є рентабельність. Цей показник визначається за формулою:</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6" style="width:38pt;height:29pt" type="#_x0000_t75">
            <v:imagedata r:id="rId13" o:title=""/>
          </v:shape>
          <o:OLEObject DrawAspect="Content" r:id="rId14" ObjectID="_1012132725" ProgID="Equation.2" ShapeID="_x0000_s6" Type="Embed"/>
        </w:pic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w:t>
      </w:r>
    </w:p>
    <w:tbl>
      <w:tblPr>
        <w:tblStyle w:val="Table6"/>
        <w:tblW w:w="9710.0" w:type="dxa"/>
        <w:jc w:val="left"/>
        <w:tblInd w:w="0.0" w:type="dxa"/>
        <w:tblLayout w:type="fixed"/>
        <w:tblLook w:val="0000"/>
      </w:tblPr>
      <w:tblGrid>
        <w:gridCol w:w="1914"/>
        <w:gridCol w:w="7796"/>
        <w:tblGridChange w:id="0">
          <w:tblGrid>
            <w:gridCol w:w="1914"/>
            <w:gridCol w:w="7796"/>
          </w:tblGrid>
        </w:tblGridChange>
      </w:tblGrid>
      <w:tr>
        <w:trPr>
          <w:cantSplit w:val="0"/>
          <w:tblHeader w:val="0"/>
        </w:trPr>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ф</w:t>
            </w: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рентабельність основних засобів;</w:t>
            </w:r>
          </w:p>
        </w:tc>
      </w:tr>
      <w:tr>
        <w:trPr>
          <w:cantSplit w:val="0"/>
          <w:tblHeader w:val="0"/>
        </w:trPr>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w:t>
            </w: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загальний прибуток за звітний період;</w:t>
            </w:r>
          </w:p>
        </w:tc>
      </w:tr>
      <w:tr>
        <w:trPr>
          <w:cantSplit w:val="0"/>
          <w:tblHeader w:val="0"/>
        </w:trPr>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к</w:t>
            </w: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балансова вартість основних засобів на кінець звітного періоду.</w:t>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Абсолютним показником ефективності використання основних засобів є сума прибутку на одну гривню основних засобів.</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показників ефективності використання основних засобів можна також віднести показник питомої ваги активної частини основних засобів у їх загальній сумі.</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Розрізняють два види зносу основних засобів — фізичний і моральний.</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Фізичний знос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поступова втрата основними засобами споживної вартості в процесі експлуатації, тобто суто матеріальний знос їх окремих елементів. Фізичний знос залежить від багатьох факторів, зокрема: особливостей технологічного процесу; якості обслуговування основних засобів; кваліфікації робітників та їхнього ставлення до основних засобів у процесі використання, інтенсивності та умов їх використання. Розрізняють повний і частковий знос основних засобів.</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Повний знос передбачає повну заміну зношених основних засобів через нове капітальне будівництво або придбання нових основних засобів.</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Частковий знос компенсується здійсненням капітального ремонту основних засобів.</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Моральний знос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знос основних засобів унаслідок створення нових, більш прогресивних і економічно ефективних машин та устаткування. Поява досконаліших видів устаткування з підвищеною продуктивністю робить економічно доцільною заміну діючих основних засобів іще до їх фізичного зносу. Несвоєчасна заміна морально застарілих основних виробничих засобів призводить до того, що собівартість підвищується, а якість знижується порівняно з продукцією, виготовленою на досконаліших машинах та устаткуванні.</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Сума нарахованої амортизації береться за вартість фізичного зносу.</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Амортизація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процес поступового перенесення вартості основних виробничих засобів і нематеріальних активів з урахуванням витрат на їх придбання, виготовлення або поліпшення згідно з нормами амортизаційних відрахувань, установленими законодавчими актами. Амортизаційні відрахування включаються до складу валових витрат, що беруться для обчислення оподатковуваного прибутку.</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рахунок амортизаційних відрахувань фінансуються витрати: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придбання основних засобів та нематеріальних активів для власного виробничого використання, у тім числі на самостійне виготовлення основних засобів для власних виробничих потреб (включно з витратами на виплату заробітної плати працівникам, які були зайняті на виготовленні таких основних засобів);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здійснення всіх видів ремонту, реконструкції, модернізації та інших способів поліпшення основних засобів.</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Безпосередньо відносяться до складу валових витрат звітного періоду: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витрати на придбання основних засобів або нематеріальних активів з метою їх наступної реалізації іншим підприємствам чи використання таких основних засобів у виробництві інших основних засобів, призначених для такої реалізації;</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кошти та витрати на утримання основних засобів, що перебувають на консервації.</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Розмір амортизаційних відрахувань залежить від балансової вартості основних засобів і норм таких відрахувань, а також від методів їх нарахування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чинного законодавства суб’єктам підприємницької діяльності пропонується як базу для нарахування амортизації застосовувати залишкову вартість основних виробничих засобів, скориговану на суму капітального ремонту понад суми, віднесені на витрати виробництва з поправкою на індекс інфляції.</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 амортиза́ції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методика за якою розраховується </w:t>
      </w:r>
      <w:hyperlink r:id="r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Амортизація нараховується згідно з </w:t>
      </w:r>
      <w:hyperlink r:id="rId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Національним положенням бухгалтерського обліку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саме П(С)БО 7 «Основні засоби» (п. 26) а також </w:t>
      </w:r>
      <w:hyperlink r:id="r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Податкового кодексу України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(стаття 144–146).</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Амортизація </w:t>
      </w:r>
      <w:hyperlink r:id="rId2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основних засобів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(крім інших необоротних матеріальних активів) нараховується із застосуванням таких методів:</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прямолінійного,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яким річна сума амортизації визначається діленням вартості, яка амортизується, на строк корисного використання об'єкта основних засобів;</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зменшення залишкової вартості,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яким 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Річна норма амортизації (у відсотках) обчислюється як різниця між одиницею та результатом кореня ступеня кількості років корисного використання об'єкта з результату від ділення ліквідаційної вартості об'єкта на його первісну вартість;</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прискореного зменшення залишкової вартості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яким річна сума амортизації визначається як добуток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залишкової вартості об'єкта на початок звітного року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або первісної вартості на дату початку нарахування амортизації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 річної норми амортизації, яка обчислюється відповідно до строку корисного використання об'єкта і подвоюється.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 прискореного зменшення залишкової вартості застосовується лише при нарахуванні амортизації до об'єктів основних засобів, що входять до груп 4 (машини та обладнання) та 5 (транспортні засоби);</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кумулятивного,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яким річна сума амортизації визначається як добуток вартості, яка амортизується, та кумулятивного коефіцієнта. Кумулятивний коефіцієнт розраховується діленням кількості років, що залишаються до кінця строку корисного використання об'єкта основних засобів, на суму числа років його корисного використання;</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виробничого,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яким 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амортизації обчислюється діленням вартості, яка амортизується, на загальний обсяг продукції (робіт, послуг), який підприємство очікує виробити (виконати) з використанням об'єкта.</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Метод прискореної амортизації.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Підприємства мають право самостійно застосовувати метод прискореної амортизації. Завдяки прискореній амортизації зменшуються втрати від морального старіння основних виробничих засобів.</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Сутність прискореного методу нарахування амортизації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полягає в тім, що без скорочення встановлених нормативних строків служби основних засобів підприємствам дозволяється протягом двох років проводити амортизаційні відрахування в підвищених розмірах, але з відповідним зниженням їх у наступні роки.</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Суми амортизаційних відрахувань звітного періоду визначаються множенням норм амортизації на балансову вартість груп основних засобів  (залишкова)  на початок звітного періоду.</w:t>
      </w:r>
    </w:p>
    <w:p w:rsidR="00000000" w:rsidDel="00000000" w:rsidP="00000000" w:rsidRDefault="00000000" w:rsidRPr="00000000" w14:paraId="0000009D">
      <w:pPr>
        <w:widowControl w:val="1"/>
        <w:spacing w:line="240" w:lineRule="auto"/>
        <w:ind w:firstLine="0"/>
        <w:rPr>
          <w:sz w:val="28"/>
          <w:szCs w:val="28"/>
        </w:rPr>
      </w:pPr>
      <w:r w:rsidDel="00000000" w:rsidR="00000000" w:rsidRPr="00000000">
        <w:rPr>
          <w:sz w:val="28"/>
          <w:szCs w:val="28"/>
          <w:rtl w:val="0"/>
        </w:rPr>
        <w:t xml:space="preserve">А=(Б*Н)/100</w:t>
      </w:r>
    </w:p>
    <w:tbl>
      <w:tblPr>
        <w:tblStyle w:val="Table7"/>
        <w:tblW w:w="9709.0" w:type="dxa"/>
        <w:jc w:val="left"/>
        <w:tblInd w:w="0.0" w:type="dxa"/>
        <w:tblLayout w:type="fixed"/>
        <w:tblLook w:val="0000"/>
      </w:tblPr>
      <w:tblGrid>
        <w:gridCol w:w="779"/>
        <w:gridCol w:w="8930"/>
        <w:tblGridChange w:id="0">
          <w:tblGrid>
            <w:gridCol w:w="779"/>
            <w:gridCol w:w="8930"/>
          </w:tblGrid>
        </w:tblGridChange>
      </w:tblGrid>
      <w:tr>
        <w:trPr>
          <w:cantSplit w:val="0"/>
          <w:trHeight w:val="201.97265624999994" w:hRule="atLeast"/>
          <w:tblHeader w:val="0"/>
        </w:trPr>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А</w:t>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сума амортизаційних відрахувань, грн.;</w:t>
            </w:r>
          </w:p>
        </w:tc>
      </w:tr>
      <w:tr>
        <w:trPr>
          <w:cantSplit w:val="0"/>
          <w:trHeight w:val="403.9453124999999" w:hRule="atLeast"/>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tl w:val="0"/>
              </w:rPr>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балансова вартість відповідної групи основних засобів на початок звітного періоду, грн.;</w:t>
            </w:r>
          </w:p>
        </w:tc>
      </w:tr>
      <w:tr>
        <w:trPr>
          <w:cantSplit w:val="0"/>
          <w:trHeight w:val="508.94531249999994" w:hRule="atLeast"/>
          <w:tblHeader w:val="0"/>
        </w:trPr>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w:t>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 амортизаційних відрахувань до балансової вартості кожної з груп основних засобів, %.  </w:t>
            </w:r>
          </w:p>
        </w:tc>
      </w:tr>
    </w:tbl>
    <w:bookmarkStart w:colFirst="0" w:colLast="0" w:name="bookmark=id.30j0zll" w:id="1"/>
    <w:bookmarkEnd w:id="1"/>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Норма амортизації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встановлений річний (квартальний) відсоток відшкодування вартості зношення частини основних фондів. Норми амортизації, які застосовуються на підприємстві, мають бути економічно обґрунтованими і спрямованими на своєчасне відшкодування основних фондів.</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  амортизації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пов’язана  зі  строком  корисного використання основних засобів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Тк. в.</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обернено пропорційною залежністю:</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drawing>
          <wp:inline distB="0" distT="0" distL="114300" distR="114300">
            <wp:extent cx="2220595" cy="684530"/>
            <wp:effectExtent b="0" l="0" r="0" t="0"/>
            <wp:docPr id="1036"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2220595" cy="68453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Балансова вартість груп основних засобів на початок звітного періоду розраховується за формулою:</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0" w:line="240" w:lineRule="auto"/>
        <w:ind w:left="0" w:right="0" w:firstLine="30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8"/>
        <w:tblW w:w="9426.0" w:type="dxa"/>
        <w:jc w:val="left"/>
        <w:tblInd w:w="0.0" w:type="dxa"/>
        <w:tblLayout w:type="fixed"/>
        <w:tblLook w:val="0000"/>
      </w:tblPr>
      <w:tblGrid>
        <w:gridCol w:w="921"/>
        <w:gridCol w:w="8505"/>
        <w:tblGridChange w:id="0">
          <w:tblGrid>
            <w:gridCol w:w="921"/>
            <w:gridCol w:w="8505"/>
          </w:tblGrid>
        </w:tblGridChange>
      </w:tblGrid>
      <w:tr>
        <w:trPr>
          <w:cantSplit w:val="0"/>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Б</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95"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балансова вартість групи основних засобів на початок звітного періоду;</w:t>
            </w:r>
          </w:p>
        </w:tc>
      </w:tr>
      <w:tr>
        <w:trPr>
          <w:cantSplit w:val="0"/>
          <w:tblHeader w:val="0"/>
        </w:trPr>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з</w:t>
            </w: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95"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балансова вартість групи основних засобів на початок періоду, що передував звітному;</w:t>
            </w:r>
          </w:p>
        </w:tc>
      </w:tr>
      <w:tr>
        <w:trPr>
          <w:cantSplit w:val="0"/>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95"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сума витрат, понесених на придбання основних засобів, здійснення капітального ремонту, реконструкцію, модернізацію та інші поліпшення основних засобів протягом періоду, що передував звітному;</w:t>
            </w:r>
          </w:p>
        </w:tc>
      </w:tr>
      <w:tr>
        <w:trPr>
          <w:cantSplit w:val="0"/>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95"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вартість виведеної з експлуатації відповідної групи основних засобів протягом періоду, що передував звітному;</w:t>
            </w:r>
          </w:p>
        </w:tc>
      </w:tr>
      <w:tr>
        <w:trPr>
          <w:cantSplit w:val="0"/>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rFonts w:ascii="Symbol" w:cs="Symbol" w:eastAsia="Symbol" w:hAnsi="Symbol"/>
                <w:b w:val="0"/>
                <w:i w:val="0"/>
                <w:smallCaps w:val="0"/>
                <w:strike w:val="0"/>
                <w:color w:val="000000"/>
                <w:sz w:val="28"/>
                <w:szCs w:val="28"/>
                <w:u w:val="none"/>
                <w:shd w:fill="auto" w:val="clear"/>
                <w:vertAlign w:val="subscript"/>
                <w:rtl w:val="0"/>
              </w:rPr>
              <w:t xml:space="preserve">α</w:t>
            </w:r>
            <w:r w:rsidDel="00000000" w:rsidR="00000000" w:rsidRPr="00000000">
              <w:rPr>
                <w:rtl w:val="0"/>
              </w:rPr>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95"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сума амортизаційних відрахувань, нарахованих у період, що передував звітному.</w:t>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Нарахування амортизаційних відрахувань дає можливість визначити поточну вартість не зношеної частини основних засобів, а також вартість тієї їх частини, яка відноситься на виробництво продукції. Одночасно визначається нагромаджувана частина фінансових ресурсів для наступного заміщення основних засобів, які вибувають з виробничого процесу через зношення.</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Підприємства всіх форм власності мають право проводити щорічну індексацію балансової вартості груп основних засобів та нематеріальних активів на коефіцієнт індексації, який визначається за формулою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0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7" style="width:99pt;height:18pt" type="#_x0000_t75">
            <v:imagedata r:id="rId15" o:title=""/>
          </v:shape>
          <o:OLEObject DrawAspect="Content" r:id="rId16" ObjectID="_956135546" ProgID="Equation.2" ShapeID="_x0000_s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bl>
      <w:tblPr>
        <w:tblStyle w:val="Table9"/>
        <w:tblW w:w="9498.0" w:type="dxa"/>
        <w:jc w:val="left"/>
        <w:tblInd w:w="70.0" w:type="pct"/>
        <w:tblLayout w:type="fixed"/>
        <w:tblLook w:val="0000"/>
      </w:tblPr>
      <w:tblGrid>
        <w:gridCol w:w="993"/>
        <w:gridCol w:w="8505"/>
        <w:tblGridChange w:id="0">
          <w:tblGrid>
            <w:gridCol w:w="993"/>
            <w:gridCol w:w="8505"/>
          </w:tblGrid>
        </w:tblGridChange>
      </w:tblGrid>
      <w:tr>
        <w:trPr>
          <w:cantSplit w:val="0"/>
          <w:tblHeader w:val="0"/>
        </w:trPr>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7"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і</w:t>
            </w: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1"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коефіцієнт індексації балансової вартості основних засобів на початок звітного року;</w:t>
            </w:r>
          </w:p>
        </w:tc>
      </w:tr>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7"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і</w:t>
            </w:r>
            <w:r w:rsidDel="00000000" w:rsidR="00000000" w:rsidRPr="00000000">
              <w:rPr>
                <w:rtl w:val="0"/>
              </w:rPr>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1" w:right="0" w:hanging="3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індекс інфляції року, за результатами якого проводиться індексація.</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значення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перевищує одиниці, індексація основних засобів не провадиться. У разі, коли підприємство застосувало коефіцієнт індексації, воно зобов’язане визначити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капітальний дохід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сумі, що дорівнює різниці між скоригованою балансовою вартістю відповідної групи основних засобів та балансовою вартістю такої групи основних засобів до індексації.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Сума капітального доходу включається до складу валових доходів кожного звітного кварталу і дорівнює одній четвертій відсотка річної норми амортизації відповідної групи основних засобів від суми капітального доходу такої групи.</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створення фінансових умов для прискорення впровадження у виробництво науково-технічних досягнень та підвищення заінтересованості підприємств у поновленні активної частини основних засобів підприємства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мають право самостійно застосовувати прискорену амортизацію основних засобів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Слід зазначити, що норми прискореної амортизації застосовуються тільки до групи 3 основних засобів. Це пояснюється тим, що саме до третьої групи включається активна частина основних засобів, яка безпосередньо бере участь у процесі виробництва і зношується інтенсивніше, ніж інші основні засоби.</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Капітальні вкладення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витрати на створення нових, реконструкцію і технічне переозброєння діючих основних засобів. За допомогою капітальних вкладень здійснюється як просте, так і розширене відтворення основних засобів.</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визначення розміру капітальних вкладень на підприємстві складається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бюджет капітальних витрат, тобто обрахунок запланованих витрат на капітальні вкладення.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Бюджет капітальних витрат включає такі дані:</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первісну вартість усіх основних засобів на початок планового періоду;</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невикористаних амортизаційних відрахувань на початок планового періоду;</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суму амортизаційних відрахувань, яку буде нараховано протягом планового періоду;</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орієнтовний підрахунок вартості устаткування, яке підлягає заміні або продажу протягом планового періоду;</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орієнтовну суму амортизаційних відрахувань на придбані основні засоби протягом планового періоду;</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вартість основних засобів та суму амортизаційних відрахувань, яка буде в підприємства на кінець планового періоду.</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Вихідними передумовами розробки бюджету капітальних вкладень є:</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календарний план реалізації інвестиційного проекту;</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бюджетні заявки на виконання окремих видів робіт і придбання матеріалів, механізмів, устаткування, розроблених виконавцями окремих функціональних блоків проекту;</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загальна стратегія фінансування інвестиційного проекту;</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попередній графік потоку інвестиційних витрат, складений на етапі розробки бізнес-плану проекту;</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фінансовий стан інвесторів проекту.</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Бюджет капітальних вкладень включає два розділи: І розділ — «Капітальні витрати», ІІ розділ «Надходження коштів».</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Під час розробки розділу «Капітальні витрати» передбачається здійснити такі розрахунки:</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виділення із загального обсягу інвестиційних витрат тієї частини, яка належить до поточного періоду. Це здійснюється в тому разі, коли тривалість реалізації інвестиційного проекту перевищує один рік;</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уточнення обсягу інвестиційних витрат поточного року з урахуванням корективів, які вносяться підрядчиком у технологію робіт;</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уточнення обсягу і структури капітальних витрат у зв’язку зі зміною індексу цін після затвердження показників бізнес-плану проекту;</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уточнення первісного обсягу капітальних витрат з урахуванням резерву фінансових коштів, передбачених у контракті з підрядчиком на покриття непередбачених витрат. Обсяг цього резерву в процесі розробки бюджету капітальних вкладень має визначитися з урахуванням тільки тих витрат, які відображені в первісній оцінці інвестиційних ризиків.</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Процес розробки розділу «Надходження коштів» передбачає, як правило, такі етапи:</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уточнення загального обсягу надходження коштів з метою збалансування цього показника з показником загального обсягу капітальних витрат, які відображені в першому розділі бюджету;</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уточнення структури джерел надходження коштів у разі зміни обсягу капітальних витрат;</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забезпечення узгодження обсягу надходження коштів за окремими періодами формування дохідної частини бюджету з обсягом капітальних витрат, передбачених в окремі періоди згідно з календарним планом здійснення робіт.</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Бюджет капітальних вкладень розробляється спочатку на наступний рік у розрізі кварталів, а потім у рамках наступного кварталу деталізується в розрізі місяців. На підставі бюджету капітальних витрат приймають рішення щодо здійснення капітальних вкладень.</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складання бюджету капітальних витрат і здійснення капітальних вкладень, треба враховувати їхню структуру. Розрізняють технологічну та відтворювальну структури капітальних вкладень.</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Технологічна структура капітальних вкладень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відображає співвідношення таких витрат:</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будівельні роботи;</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придбання устаткування, інструментів та інвентарю;</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монтаж устаткування;</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проектно-дослідні роботи;</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інші витрати.</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Важливе значення для підвищення ефективності виробництва має поліпшення технологічної структури капітальних вкладень за рахунок збільшення питомої ваги витрат на придбання активної частини основних виробничих засобів.</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Відтворювальна структура капітальних вкладень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такі напрямки витрат: нове будівництво; технічне переозброєння та реконструкція діючих підприємств; розширення діючих підприємств; витрати на окремі об’єкти діючих підприємств. Відтворювальна структура капітальних вкладень оцінюється як прогресивна, коли в її складі збільшується питома вага витрат на технічне переозброєння та реконструкцію діючих підприємств.</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За ринкових відносин важливе значення має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вибір оптимальної структури джерел фінансування капітальних вкладень.(співвідношення власних та позичкових фінансових ресурсів)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Фінансування капітальних вкладень здійснюється за рахунок власних і залучених коштів. Структура джерел фінансування капітальних вкладень підприємства залежить від багатьох факторів, зокрема: від оподаткування доходів підприємства; темпів зростання реалізації товарної продукції та їхньої стабільності; структури активів підприємства; стану ринку капіталу; відсоткової політики комерційних банків; рівня управління фінансовими ресурсами підприємства; суті стратегічних цільових фінансових рішень підприємства тощо.</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Найприйнятнішим для підприємства є комплексний підхід до вибору джерел фінансування капітальних вкладень.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Тоді основною передумовою визначення оптимальної структури таких джерел може бути детальний аналіз:</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по-перше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можливого обсягу внутрішніх джерел фінансування капітальних вкладень;</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по-друге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можливого обсягу залучення додаткових коштів, пов’язаного із подорожчанням капітальних витрат.</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слід забувати, що порушення оптимального співвідношення між власними і залученими джерелами фінансування капітальних вкладень може призвести до погіршання фінансового стану підприємства.</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Фінансовий менеджер повинен визначити граничний розмір капітальних витрат виходячи з розміру та питомої ваги кожного джерела фінансування, які можна залучити для здійснення капітальних вкладень.</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center"/>
        <w:rPr>
          <w:rFonts w:ascii="Calibri" w:cs="Calibri" w:eastAsia="Calibri" w:hAnsi="Calibri"/>
          <w:b w:val="0"/>
          <w:i w:val="0"/>
          <w:smallCaps w:val="0"/>
          <w:strike w:val="0"/>
          <w:color w:val="000000"/>
          <w:sz w:val="2"/>
          <w:szCs w:val="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8" style="width:360pt;height:318pt" type="#_x0000_t75">
            <v:imagedata r:id="rId17" o:title=""/>
          </v:shape>
          <o:OLEObject DrawAspect="Content" r:id="rId18" ObjectID="_1029585671" ProgID="Word.Picture.6" ShapeID="_x0000_s8" Type="Embed"/>
        </w:pic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Відповідно до чинного законодавства джерелами фінансування капітальних вкладень можуть бути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власні фінансові ресурси;</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позичені фінансові ресурси;</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кошти, отримані від продажу цінних паперів, внески членів трудових колективів;</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кошти державного бюджету та місцевих бюджетів;</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кошти іноземних інвесторів.</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Власні фінансові ресурси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включають внески засновників підприємства, амортизаційні відрахування; прибуток, який використовується у вигляді засобів, резервів у процесі господарської діяльності. Грошова частина внесків власників підприємства передовсім спрямовується на придбання основних засобів.</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Сума амортизаційних відрахувань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що спрямовується на капітальні вкладення, залежить від балансової вартості основних засобів, норм амортизаційних відрахувань, структури основних виробничих засобів.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Сума прибутку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що використовується на капітальні вкладення, залежить від розміру прибутку, який залишається в розпорядженні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Позичені та залучені кошти</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використовуються підприємством за браком власних фінансових ресурсів на капітальні вкладення.</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позичених та залучених коштів належать: довгострокові банківські кредити; позики інших підприємств; кошти від випуску векселів та інших боргових зобов’язань; кошти від емісії та реалізації цінних паперів, які належать підприємству; фінансування з благодійних засобів; іноземні інвестиції.</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 рахунок державного бюджету фінансуються централізовані капітальні вкладення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Бюджетні кошти надаються підприємствам лише в тому разі, коли об’єкти включено до цільової комплексної програми, затвердженої Кабінетом Міністрів України.</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07" w:orient="portrait"/>
      <w:pgMar w:bottom="1134" w:top="851" w:left="1134" w:right="1134" w:header="851"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4477568"/>
      <w:numFmt w:val="bullet"/>
      <w:lvlText w:val="♦"/>
      <w:lvlJc w:val="left"/>
      <w:pPr>
        <w:ind w:left="528" w:hanging="227"/>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widowControl w:val="0"/>
        <w:spacing w:line="34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widowControl w:val="0"/>
      <w:suppressAutoHyphens w:val="1"/>
      <w:spacing w:line="340" w:lineRule="auto"/>
      <w:ind w:leftChars="-1" w:rightChars="0" w:firstLine="720" w:firstLineChars="-1"/>
      <w:jc w:val="both"/>
      <w:textDirection w:val="btLr"/>
      <w:textAlignment w:val="top"/>
      <w:outlineLvl w:val="0"/>
    </w:pPr>
    <w:rPr>
      <w:rFonts w:ascii="Times New Roman" w:eastAsia="Times New Roman" w:hAnsi="Times New Roman"/>
      <w:snapToGrid w:val="0"/>
      <w:w w:val="100"/>
      <w:position w:val="-1"/>
      <w:effect w:val="none"/>
      <w:vertAlign w:val="baseline"/>
      <w:cs w:val="0"/>
      <w:em w:val="none"/>
      <w:lang w:bidi="ar-SA" w:eastAsia="ru-RU" w:val="uk-UA"/>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Основнойтекстсотступом">
    <w:name w:val="Основной текст с отступом"/>
    <w:basedOn w:val="Обычный"/>
    <w:next w:val="Основнойтекстсотступом"/>
    <w:autoRedefine w:val="0"/>
    <w:hidden w:val="0"/>
    <w:qFormat w:val="1"/>
    <w:pPr>
      <w:suppressAutoHyphens w:val="1"/>
      <w:spacing w:after="120" w:line="276" w:lineRule="auto"/>
      <w:ind w:left="283"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2"/>
      <w:szCs w:val="22"/>
      <w:effect w:val="none"/>
      <w:vertAlign w:val="baseline"/>
      <w:cs w:val="0"/>
      <w:em w:val="none"/>
      <w:lang w:eastAsia="en-US"/>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ru-RU" w:val="ru-RU"/>
    </w:rPr>
  </w:style>
  <w:style w:type="character" w:styleId="СтандартныйHTMLЗнак">
    <w:name w:val="Стандартный HTML Знак"/>
    <w:next w:val="СтандартныйHTMLЗнак"/>
    <w:autoRedefine w:val="0"/>
    <w:hidden w:val="0"/>
    <w:qFormat w:val="0"/>
    <w:rPr>
      <w:rFonts w:ascii="Courier New" w:cs="Courier New" w:eastAsia="Times New Roman" w:hAnsi="Courier New"/>
      <w:w w:val="100"/>
      <w:position w:val="-1"/>
      <w:effect w:val="none"/>
      <w:vertAlign w:val="baseline"/>
      <w:cs w:val="0"/>
      <w:em w:val="none"/>
      <w:lang/>
    </w:rPr>
  </w:style>
  <w:style w:type="paragraph" w:styleId="Основнойтекст3">
    <w:name w:val="Основной текст 3"/>
    <w:basedOn w:val="Обычный"/>
    <w:next w:val="Основнойтекст3"/>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16"/>
      <w:szCs w:val="16"/>
      <w:effect w:val="none"/>
      <w:vertAlign w:val="baseline"/>
      <w:cs w:val="0"/>
      <w:em w:val="none"/>
      <w:lang w:bidi="ar-SA" w:eastAsia="en-US" w:val="ru-RU"/>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1.0" w:type="dxa"/>
        <w:bottom w:w="0.0" w:type="dxa"/>
        <w:right w:w="71.0" w:type="dxa"/>
      </w:tblCellMar>
    </w:tblPr>
  </w:style>
  <w:style w:type="table" w:styleId="Table6">
    <w:basedOn w:val="TableNormal"/>
    <w:tblPr>
      <w:tblStyleRowBandSize w:val="1"/>
      <w:tblStyleColBandSize w:val="1"/>
      <w:tblCellMar>
        <w:top w:w="0.0" w:type="dxa"/>
        <w:left w:w="71.0" w:type="dxa"/>
        <w:bottom w:w="0.0" w:type="dxa"/>
        <w:right w:w="71.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styles" Target="styles.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image" Target="media/image4.wmf"/><Relationship Id="rId26" Type="http://schemas.openxmlformats.org/officeDocument/2006/relationships/hyperlink" Target="http://uk.wikipedia.org/wiki/%D0%90%D0%BC%D0%BE%D1%80%D1%82%D0%B8%D0%B7%D0%B0%D1%86%D1%96%D1%8F" TargetMode="External"/><Relationship Id="rId25" Type="http://schemas.openxmlformats.org/officeDocument/2006/relationships/hyperlink" Target="http://uk.wikipedia.org/wiki/%D0%90%D0%BA%D1%82%D0%B8%D0%B2%D0%B8" TargetMode="External"/><Relationship Id="rId28" Type="http://schemas.openxmlformats.org/officeDocument/2006/relationships/hyperlink" Target="http://uk.wikipedia.org/wiki/%D0%9F%D0%BE%D0%B4%D0%B0%D1%82%D0%BA%D0%BE%D0%B2%D0%B8%D0%B9_%D0%BA%D0%BE%D0%B4%D0%B5%D0%BA%D1%81_%D0%A3%D0%BA%D1%80%D0%B0%D1%97%D0%BD%D0%B8" TargetMode="External"/><Relationship Id="rId27" Type="http://schemas.openxmlformats.org/officeDocument/2006/relationships/hyperlink" Target="http://uk.wikipedia.org/wiki/%D0%9D%D0%B0%D1%86%D1%96%D0%BE%D0%BD%D0%B0%D0%BB%D1%8C%D0%BD%D0%B5_%D0%BF%D0%BE%D0%BB%D0%BE%D0%B6%D0%B5%D0%BD%D0%BD%D1%8F_%D0%B1%D1%83%D1%85%D0%B3%D0%B0%D0%BB%D1%82%D0%B5%D1%80%D1%81%D1%8C%D0%BA%D0%BE%D0%B3%D0%BE_%D0%BE%D0%B1%D0%BB%D1%96%D0%BA%D1%83" TargetMode="External"/><Relationship Id="rId5" Type="http://schemas.openxmlformats.org/officeDocument/2006/relationships/image" Target="media/image2.wmf"/><Relationship Id="rId6" Type="http://schemas.openxmlformats.org/officeDocument/2006/relationships/oleObject" Target="embeddings/oleObject2.bin"/><Relationship Id="rId29" Type="http://schemas.openxmlformats.org/officeDocument/2006/relationships/hyperlink" Target="http://uk.wikipedia.org/wiki/%D0%9E%D1%81%D0%BD%D0%BE%D0%B2%D0%BD%D1%96_%D0%B7%D0%B0%D1%81%D0%BE%D0%B1%D0%B8" TargetMode="External"/><Relationship Id="rId7" Type="http://schemas.openxmlformats.org/officeDocument/2006/relationships/image" Target="media/image5.wmf"/><Relationship Id="rId8" Type="http://schemas.openxmlformats.org/officeDocument/2006/relationships/oleObject" Target="embeddings/oleObject5.bin"/><Relationship Id="rId30" Type="http://schemas.openxmlformats.org/officeDocument/2006/relationships/image" Target="media/image10.png"/><Relationship Id="rId11" Type="http://schemas.openxmlformats.org/officeDocument/2006/relationships/image" Target="media/image7.wmf"/><Relationship Id="rId10"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7.bin"/><Relationship Id="rId15" Type="http://schemas.openxmlformats.org/officeDocument/2006/relationships/image" Target="media/image8.wmf"/><Relationship Id="rId14"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8.bin"/><Relationship Id="rId19" Type="http://schemas.openxmlformats.org/officeDocument/2006/relationships/theme" Target="theme/theme1.xml"/><Relationship Id="rId18"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l/DTlDh2075l8xBejT3SfhARGA==">AMUW2mUsm98QWdh6y8psuSUnjziZAIGPLxG4aw4zQCPze2dWO3H5612n4bh9Ubkm7ax+KzZmN++lNLNDtJikEtONcv9yJZ24IEo/veb3rpoDB7LYRv5PXHB6WIRgocaTyN7yAb0kuHfSn305utqgAgPyxPHnbPNbMA==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2020-04-21T14:58:00Z</dcterms:created>
  <dc:creator>OneD</dc:creator>
</cp:coreProperties>
</file>

<file path=docProps/custom.xml><?xml version="1.0" encoding="utf-8"?>
<Properties xmlns="http://schemas.openxmlformats.org/officeDocument/2006/custom-properties" xmlns:vt="http://schemas.openxmlformats.org/officeDocument/2006/docPropsVTypes"/>
</file>