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49C8" w14:textId="7A0306DD" w:rsidR="000C27A8" w:rsidRPr="00474A16" w:rsidRDefault="000C27A8" w:rsidP="000C27A8">
      <w:pPr>
        <w:pStyle w:val="a3"/>
        <w:ind w:firstLine="709"/>
        <w:jc w:val="both"/>
        <w:rPr>
          <w:rFonts w:ascii="Times New Roman" w:hAnsi="Times New Roman"/>
          <w:b/>
          <w:bCs/>
          <w:sz w:val="24"/>
          <w:szCs w:val="24"/>
        </w:rPr>
      </w:pPr>
      <w:r w:rsidRPr="000C27A8">
        <w:rPr>
          <w:rFonts w:ascii="Times New Roman" w:hAnsi="Times New Roman"/>
          <w:b/>
          <w:bCs/>
          <w:sz w:val="24"/>
          <w:szCs w:val="24"/>
        </w:rPr>
        <w:t xml:space="preserve">Тема </w:t>
      </w:r>
      <w:r w:rsidR="004A6EAE">
        <w:rPr>
          <w:rFonts w:ascii="Times New Roman" w:hAnsi="Times New Roman"/>
          <w:b/>
          <w:bCs/>
          <w:sz w:val="24"/>
          <w:szCs w:val="24"/>
        </w:rPr>
        <w:t>6</w:t>
      </w:r>
      <w:r w:rsidRPr="000C27A8">
        <w:rPr>
          <w:rFonts w:ascii="Times New Roman" w:hAnsi="Times New Roman"/>
          <w:b/>
          <w:bCs/>
          <w:sz w:val="24"/>
          <w:szCs w:val="24"/>
        </w:rPr>
        <w:t>.</w:t>
      </w:r>
      <w:r w:rsidR="0025735E">
        <w:rPr>
          <w:rFonts w:ascii="Times New Roman" w:hAnsi="Times New Roman"/>
          <w:b/>
          <w:bCs/>
          <w:sz w:val="24"/>
          <w:szCs w:val="24"/>
        </w:rPr>
        <w:t>2</w:t>
      </w:r>
      <w:r w:rsidR="00246372">
        <w:rPr>
          <w:rFonts w:ascii="Times New Roman" w:hAnsi="Times New Roman"/>
          <w:b/>
          <w:bCs/>
          <w:sz w:val="24"/>
          <w:szCs w:val="24"/>
        </w:rPr>
        <w:t>.</w:t>
      </w:r>
      <w:r w:rsidRPr="000C27A8">
        <w:rPr>
          <w:rFonts w:ascii="Times New Roman" w:hAnsi="Times New Roman"/>
          <w:b/>
          <w:bCs/>
          <w:sz w:val="24"/>
          <w:szCs w:val="24"/>
        </w:rPr>
        <w:t xml:space="preserve"> </w:t>
      </w:r>
      <w:r w:rsidR="004A6EAE">
        <w:rPr>
          <w:rFonts w:ascii="Times New Roman" w:hAnsi="Times New Roman"/>
          <w:b/>
          <w:bCs/>
          <w:sz w:val="24"/>
          <w:szCs w:val="24"/>
        </w:rPr>
        <w:t xml:space="preserve">Технологія </w:t>
      </w:r>
      <w:r w:rsidR="005E1912">
        <w:rPr>
          <w:rFonts w:ascii="Times New Roman" w:hAnsi="Times New Roman"/>
          <w:b/>
          <w:bCs/>
          <w:sz w:val="24"/>
          <w:szCs w:val="24"/>
        </w:rPr>
        <w:t>створення</w:t>
      </w:r>
      <w:r w:rsidR="004A6EAE">
        <w:rPr>
          <w:rFonts w:ascii="Times New Roman" w:hAnsi="Times New Roman"/>
          <w:b/>
          <w:bCs/>
          <w:sz w:val="24"/>
          <w:szCs w:val="24"/>
        </w:rPr>
        <w:t xml:space="preserve"> власної справи</w:t>
      </w:r>
    </w:p>
    <w:p w14:paraId="63627D7B" w14:textId="77777777" w:rsidR="000C27A8" w:rsidRPr="0036055F" w:rsidRDefault="000C27A8" w:rsidP="0036055F">
      <w:pPr>
        <w:pStyle w:val="a3"/>
        <w:ind w:firstLine="709"/>
        <w:jc w:val="both"/>
        <w:rPr>
          <w:rFonts w:ascii="Times New Roman" w:hAnsi="Times New Roman"/>
          <w:sz w:val="24"/>
          <w:szCs w:val="24"/>
        </w:rPr>
      </w:pPr>
    </w:p>
    <w:p w14:paraId="17F1E650" w14:textId="1B7EA683" w:rsidR="004A6EAE" w:rsidRPr="004A6EAE" w:rsidRDefault="004A6EAE" w:rsidP="004D578B">
      <w:pPr>
        <w:pStyle w:val="a3"/>
        <w:ind w:firstLine="709"/>
        <w:jc w:val="both"/>
        <w:rPr>
          <w:rFonts w:ascii="Times New Roman" w:hAnsi="Times New Roman"/>
          <w:sz w:val="24"/>
          <w:szCs w:val="24"/>
        </w:rPr>
      </w:pPr>
      <w:r>
        <w:rPr>
          <w:rFonts w:ascii="Times New Roman" w:hAnsi="Times New Roman"/>
          <w:sz w:val="24"/>
          <w:szCs w:val="24"/>
        </w:rPr>
        <w:t xml:space="preserve">1. </w:t>
      </w:r>
      <w:r w:rsidR="0025735E">
        <w:rPr>
          <w:rFonts w:ascii="Times New Roman" w:hAnsi="Times New Roman"/>
          <w:sz w:val="24"/>
          <w:szCs w:val="24"/>
        </w:rPr>
        <w:t>Державна реєстрація суб</w:t>
      </w:r>
      <w:r w:rsidR="0025735E" w:rsidRPr="0025735E">
        <w:rPr>
          <w:rFonts w:ascii="Times New Roman" w:hAnsi="Times New Roman"/>
          <w:sz w:val="24"/>
          <w:szCs w:val="24"/>
        </w:rPr>
        <w:t>’</w:t>
      </w:r>
      <w:r w:rsidR="0025735E">
        <w:rPr>
          <w:rFonts w:ascii="Times New Roman" w:hAnsi="Times New Roman"/>
          <w:sz w:val="24"/>
          <w:szCs w:val="24"/>
        </w:rPr>
        <w:t>єктів підприємницької діяльності</w:t>
      </w:r>
      <w:r w:rsidRPr="004A6EAE">
        <w:rPr>
          <w:rFonts w:ascii="Times New Roman" w:hAnsi="Times New Roman"/>
          <w:sz w:val="24"/>
          <w:szCs w:val="24"/>
        </w:rPr>
        <w:t xml:space="preserve">. </w:t>
      </w:r>
    </w:p>
    <w:p w14:paraId="5A501D70" w14:textId="6C92793C" w:rsidR="004A6EAE" w:rsidRPr="004A6EAE" w:rsidRDefault="004A6EAE" w:rsidP="001F1DB2">
      <w:pPr>
        <w:pStyle w:val="a3"/>
        <w:ind w:firstLine="709"/>
        <w:jc w:val="both"/>
        <w:rPr>
          <w:rFonts w:ascii="Times New Roman" w:hAnsi="Times New Roman"/>
          <w:sz w:val="24"/>
          <w:szCs w:val="24"/>
        </w:rPr>
      </w:pPr>
      <w:r w:rsidRPr="0025735E">
        <w:rPr>
          <w:rFonts w:ascii="Times New Roman" w:hAnsi="Times New Roman"/>
          <w:sz w:val="24"/>
          <w:szCs w:val="24"/>
        </w:rPr>
        <w:t>2.</w:t>
      </w:r>
      <w:r w:rsidR="001F1DB2" w:rsidRPr="0025735E">
        <w:rPr>
          <w:rFonts w:ascii="Times New Roman" w:hAnsi="Times New Roman"/>
          <w:sz w:val="24"/>
          <w:szCs w:val="24"/>
        </w:rPr>
        <w:t xml:space="preserve"> </w:t>
      </w:r>
      <w:r w:rsidR="0025735E" w:rsidRPr="0025735E">
        <w:rPr>
          <w:rFonts w:ascii="Times New Roman" w:hAnsi="Times New Roman"/>
          <w:sz w:val="24"/>
          <w:szCs w:val="24"/>
        </w:rPr>
        <w:t>Ліцензування підприємницької діяльності</w:t>
      </w:r>
      <w:r w:rsidRPr="0025735E">
        <w:rPr>
          <w:rFonts w:ascii="Times New Roman" w:hAnsi="Times New Roman"/>
          <w:sz w:val="24"/>
          <w:szCs w:val="24"/>
        </w:rPr>
        <w:t>.</w:t>
      </w:r>
      <w:r w:rsidRPr="004A6EAE">
        <w:rPr>
          <w:rFonts w:ascii="Times New Roman" w:hAnsi="Times New Roman"/>
          <w:sz w:val="24"/>
          <w:szCs w:val="24"/>
        </w:rPr>
        <w:t xml:space="preserve"> </w:t>
      </w:r>
    </w:p>
    <w:p w14:paraId="4116C553" w14:textId="77777777" w:rsidR="004A6EAE" w:rsidRPr="004A6EAE" w:rsidRDefault="004A6EAE" w:rsidP="004D578B">
      <w:pPr>
        <w:pStyle w:val="a3"/>
        <w:ind w:firstLine="709"/>
        <w:jc w:val="both"/>
        <w:rPr>
          <w:rFonts w:ascii="Times New Roman" w:hAnsi="Times New Roman"/>
          <w:sz w:val="24"/>
          <w:szCs w:val="24"/>
        </w:rPr>
      </w:pPr>
    </w:p>
    <w:p w14:paraId="64391CDD" w14:textId="77777777" w:rsidR="000C0B5A" w:rsidRDefault="000C0B5A" w:rsidP="00FF781B">
      <w:pPr>
        <w:pStyle w:val="a3"/>
        <w:ind w:firstLine="709"/>
        <w:jc w:val="both"/>
        <w:rPr>
          <w:rFonts w:ascii="Times New Roman" w:hAnsi="Times New Roman"/>
          <w:sz w:val="24"/>
          <w:szCs w:val="24"/>
        </w:rPr>
      </w:pPr>
    </w:p>
    <w:p w14:paraId="469C0B06" w14:textId="7619A41C" w:rsidR="0025735E" w:rsidRPr="004A6EAE" w:rsidRDefault="0025735E" w:rsidP="0025735E">
      <w:pPr>
        <w:pStyle w:val="a3"/>
        <w:ind w:firstLine="709"/>
        <w:jc w:val="both"/>
        <w:rPr>
          <w:rFonts w:ascii="Times New Roman" w:hAnsi="Times New Roman"/>
          <w:sz w:val="24"/>
          <w:szCs w:val="24"/>
        </w:rPr>
      </w:pPr>
      <w:r>
        <w:rPr>
          <w:rFonts w:ascii="Times New Roman" w:hAnsi="Times New Roman"/>
          <w:sz w:val="24"/>
          <w:szCs w:val="24"/>
        </w:rPr>
        <w:t>1. Державна реєстрація суб</w:t>
      </w:r>
      <w:r w:rsidRPr="0025735E">
        <w:rPr>
          <w:rFonts w:ascii="Times New Roman" w:hAnsi="Times New Roman"/>
          <w:sz w:val="24"/>
          <w:szCs w:val="24"/>
        </w:rPr>
        <w:t>’</w:t>
      </w:r>
      <w:r>
        <w:rPr>
          <w:rFonts w:ascii="Times New Roman" w:hAnsi="Times New Roman"/>
          <w:sz w:val="24"/>
          <w:szCs w:val="24"/>
        </w:rPr>
        <w:t xml:space="preserve">єктів підприємницької діяльності - </w:t>
      </w:r>
      <w:r w:rsidRPr="0025735E">
        <w:rPr>
          <w:rFonts w:ascii="Times New Roman" w:hAnsi="Times New Roman"/>
          <w:i/>
          <w:iCs/>
          <w:sz w:val="24"/>
          <w:szCs w:val="24"/>
          <w:highlight w:val="cyan"/>
        </w:rPr>
        <w:t>відео</w:t>
      </w:r>
    </w:p>
    <w:p w14:paraId="3F018B0C" w14:textId="0CC8B9D6" w:rsidR="0025735E" w:rsidRDefault="0025735E" w:rsidP="0025735E">
      <w:pPr>
        <w:pStyle w:val="a3"/>
        <w:jc w:val="both"/>
        <w:rPr>
          <w:rFonts w:ascii="Times New Roman" w:hAnsi="Times New Roman"/>
          <w:sz w:val="24"/>
          <w:szCs w:val="24"/>
          <w:lang w:eastAsia="uk-UA"/>
        </w:rPr>
      </w:pPr>
    </w:p>
    <w:p w14:paraId="0B8E00D1" w14:textId="77777777" w:rsidR="0025735E" w:rsidRDefault="0025735E" w:rsidP="0025735E">
      <w:pPr>
        <w:pStyle w:val="a3"/>
        <w:jc w:val="both"/>
        <w:rPr>
          <w:rFonts w:ascii="Times New Roman" w:hAnsi="Times New Roman"/>
          <w:sz w:val="24"/>
          <w:szCs w:val="24"/>
          <w:lang w:eastAsia="uk-UA"/>
        </w:rPr>
      </w:pPr>
    </w:p>
    <w:p w14:paraId="6E279874" w14:textId="50B00BFD" w:rsidR="0025735E" w:rsidRDefault="0025735E" w:rsidP="0025735E">
      <w:pPr>
        <w:pStyle w:val="a3"/>
        <w:ind w:firstLine="709"/>
        <w:jc w:val="both"/>
        <w:rPr>
          <w:rFonts w:ascii="Times New Roman" w:hAnsi="Times New Roman"/>
          <w:sz w:val="24"/>
          <w:szCs w:val="24"/>
        </w:rPr>
      </w:pPr>
      <w:r w:rsidRPr="0025735E">
        <w:rPr>
          <w:rFonts w:ascii="Times New Roman" w:hAnsi="Times New Roman"/>
          <w:sz w:val="24"/>
          <w:szCs w:val="24"/>
        </w:rPr>
        <w:t>2. Ліцензування підприємницької діяльності.</w:t>
      </w:r>
      <w:r w:rsidRPr="004A6EAE">
        <w:rPr>
          <w:rFonts w:ascii="Times New Roman" w:hAnsi="Times New Roman"/>
          <w:sz w:val="24"/>
          <w:szCs w:val="24"/>
        </w:rPr>
        <w:t xml:space="preserve"> </w:t>
      </w:r>
    </w:p>
    <w:p w14:paraId="6B308EDC"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Ліцензування певних видів господарської діяльності, згідно зі ст. 14 ГК України, є засобом державного регулювання у сфері господарювання, який спрямований на забезпечення єдиної державної політики у цій сфері та захист економічних та соціальних інтересів держави, суспільства та окремих споживачів. Юридичною передумовою ліцензування підприємницької діяльності є реєстрація суб’єкта підприємництва, в установчих документах якого передбачений вид діяльності, що підлягає ліцензуванню. З іншого боку, воно здійснюється лише за бажанням суб’єкта підприємництва, коли він сам обирає діяльність, котра підлягає ліцензуванню.</w:t>
      </w:r>
    </w:p>
    <w:p w14:paraId="40E58356"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Уперше державне ліцензування підприємницької діяльності в Україні було законодавчо введено в 1991 році – із прийняттям Закону України «Про підприємництво», який передбачав ліцензування всього 12 видів підприємницької діяльності. Згодом перелік видів підприємницької діяльності, що підлягали ліцензуванню, не раз доповнювався, отже, сфера ліцензування поступово розширювалася. Відтак до 1997 року підлягало обмеженню вже 212 видів підприємництва та майже 1500 видів робіт, тобто майже вся сфера підприємницької діяльності була </w:t>
      </w:r>
      <w:proofErr w:type="spellStart"/>
      <w:r w:rsidRPr="00BA1646">
        <w:rPr>
          <w:rFonts w:ascii="Times New Roman" w:hAnsi="Times New Roman"/>
          <w:sz w:val="24"/>
          <w:szCs w:val="24"/>
        </w:rPr>
        <w:t>заліцензована</w:t>
      </w:r>
      <w:proofErr w:type="spellEnd"/>
      <w:r w:rsidRPr="00BA1646">
        <w:rPr>
          <w:rFonts w:ascii="Times New Roman" w:hAnsi="Times New Roman"/>
          <w:sz w:val="24"/>
          <w:szCs w:val="24"/>
        </w:rPr>
        <w:t>. Велика кількість документів призвела до відсутності в Україні цілісної дозвільної системи, а також до неконтрольованого збільшення видів діяльності, на провадження яких вимагалося отримання ліцензій. До того ж, такий стан породжував неузгодженість самих нормативно-правових актів, що регулювали обмеження в здійсненні підприємницької діяльності, наявність внутрішніх суперечностей у правовому регулюванні цього процесу. І, як наслідок, спостерігалось неповне й недостатньо ефективне регулювання процесу ліцензування.</w:t>
      </w:r>
    </w:p>
    <w:p w14:paraId="3FEC45FF"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З 01.06.2000 р. основним законодавчим актом, що регулював відносини з ліцензування, був Закон України від «Про ліцензування певних видів господарської діяльності», який дещо впорядкував систему ліцензування, хоча й характеризувався низкою недоліків та </w:t>
      </w:r>
      <w:proofErr w:type="spellStart"/>
      <w:r w:rsidRPr="00BA1646">
        <w:rPr>
          <w:rFonts w:ascii="Times New Roman" w:hAnsi="Times New Roman"/>
          <w:sz w:val="24"/>
          <w:szCs w:val="24"/>
        </w:rPr>
        <w:t>недопрацювань</w:t>
      </w:r>
      <w:proofErr w:type="spellEnd"/>
      <w:r w:rsidRPr="00BA1646">
        <w:rPr>
          <w:rFonts w:ascii="Times New Roman" w:hAnsi="Times New Roman"/>
          <w:sz w:val="24"/>
          <w:szCs w:val="24"/>
        </w:rPr>
        <w:t>.</w:t>
      </w:r>
    </w:p>
    <w:p w14:paraId="6646139D"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Сьогодні правове регулювання ліцензування підприємницької діяльності здійснюється Законом України від 02.03.2015 р. № 222-VIII «Про ліцензування видів господарської діяльності» (надалі – Закон «Про ліцензування»). Відповідно до вказаного закону, </w:t>
      </w:r>
      <w:r w:rsidRPr="00BA1646">
        <w:rPr>
          <w:rFonts w:ascii="Times New Roman" w:hAnsi="Times New Roman"/>
          <w:b/>
          <w:bCs/>
          <w:i/>
          <w:iCs/>
          <w:sz w:val="24"/>
          <w:szCs w:val="24"/>
        </w:rPr>
        <w:t>ліцензування</w:t>
      </w:r>
      <w:r w:rsidRPr="00BA1646">
        <w:rPr>
          <w:rFonts w:ascii="Times New Roman" w:hAnsi="Times New Roman"/>
          <w:sz w:val="24"/>
          <w:szCs w:val="24"/>
        </w:rPr>
        <w:t xml:space="preserve"> – це засіб державного регулювання провадження видів господарської діяльності, що підлягають ліцензуванню, спрямований на забезпечення реалізації єдиної державної політики у сфері ліцензування, захист економічних і соціальних інтересів держави, суспільства та окремих споживачів.</w:t>
      </w:r>
    </w:p>
    <w:p w14:paraId="296B4EEB"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Єдиним документом дозвільного характеру, який дає право займатися певним видом підприємницької діяльності, що, згідно із законодавством, підлягає певним обмеженням, є ліцензія. Сутність ліцензії не в обмеженні підприємницької діяльності, а в тому, що держава встановлює певні додаткові вимоги у даній сфері за допомогою ліцензійних умов.</w:t>
      </w:r>
    </w:p>
    <w:p w14:paraId="14BF61E5"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b/>
          <w:bCs/>
          <w:i/>
          <w:iCs/>
          <w:sz w:val="24"/>
          <w:szCs w:val="24"/>
        </w:rPr>
        <w:t>Ліцензія</w:t>
      </w:r>
      <w:r w:rsidRPr="00BA1646">
        <w:rPr>
          <w:rFonts w:ascii="Times New Roman" w:hAnsi="Times New Roman"/>
          <w:sz w:val="24"/>
          <w:szCs w:val="24"/>
        </w:rPr>
        <w:t xml:space="preserve"> – документ, що надається органом ліцензування на право провадження суб’єктом господарювання визначеного ним виду господарської діяльності, що підлягає </w:t>
      </w:r>
      <w:r w:rsidRPr="00BA1646">
        <w:rPr>
          <w:rFonts w:ascii="Times New Roman" w:hAnsi="Times New Roman"/>
          <w:sz w:val="24"/>
          <w:szCs w:val="24"/>
        </w:rPr>
        <w:lastRenderedPageBreak/>
        <w:t>ліцензуванню, в електронному вигляді (запис про наявність ліцензії у такого суб’єкта господарювання в Єдиному державному реєстрі юридичних осіб та фізичних осіб-підприємців) або на паперовому носії.</w:t>
      </w:r>
    </w:p>
    <w:p w14:paraId="0D1B3D79" w14:textId="5E0C0C9B"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Водночас ліцензування господарської діяльності в деяких галузях економіки здійснюється згідно із спеціальним законодавством. Зокрема ліцензування банківської діяльності здійснюється відповідно до Закону України «Про банки і банківську діяльність банківську діяльність»; ліцензування діяльності в галузі телебачення і радіомовлення регулюється Законом України «Про телебачення і радіомовлення»; ліцензування виробництва і торгівлі спиртом етиловим, коньячним і плодовим, алкогольними напоями та тютюновими виробами про</w:t>
      </w:r>
      <w:r w:rsidR="00771315">
        <w:rPr>
          <w:rFonts w:ascii="Times New Roman" w:hAnsi="Times New Roman"/>
          <w:sz w:val="24"/>
          <w:szCs w:val="24"/>
        </w:rPr>
        <w:t>во</w:t>
      </w:r>
      <w:r w:rsidRPr="00BA1646">
        <w:rPr>
          <w:rFonts w:ascii="Times New Roman" w:hAnsi="Times New Roman"/>
          <w:sz w:val="24"/>
          <w:szCs w:val="24"/>
        </w:rPr>
        <w:t>диться згідно з Законом України «Про державне регулювання виробництва і обігу спирту етилового, коньячного і плодового, алкогольних напоїв та тютюнових виробів».</w:t>
      </w:r>
    </w:p>
    <w:p w14:paraId="69121608"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Основними принципами державної політики у сфері ліцензування є: </w:t>
      </w:r>
    </w:p>
    <w:p w14:paraId="75E43141"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 забезпечення рівності прав, законних інтересів усіх суб’єктів господарювання; </w:t>
      </w:r>
    </w:p>
    <w:p w14:paraId="4E429096"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захист прав, законних інтересів, життя та здоров’я громадян;</w:t>
      </w:r>
    </w:p>
    <w:p w14:paraId="6AB19BA3"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 захист навколишнього природного середовища та забезпечення безпеки держави; </w:t>
      </w:r>
    </w:p>
    <w:p w14:paraId="3AACB18E"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 встановлення єдиного порядку ліцензування видів господарської діяльності на території України; </w:t>
      </w:r>
    </w:p>
    <w:p w14:paraId="0E24594C"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встановлення єдиного переліку видів господарської д</w:t>
      </w:r>
      <w:bookmarkStart w:id="0" w:name="_GoBack"/>
      <w:bookmarkEnd w:id="0"/>
      <w:r w:rsidRPr="00BA1646">
        <w:rPr>
          <w:rFonts w:ascii="Times New Roman" w:hAnsi="Times New Roman"/>
          <w:sz w:val="24"/>
          <w:szCs w:val="24"/>
        </w:rPr>
        <w:t xml:space="preserve">іяльності, що підлягають ліцензуванню; </w:t>
      </w:r>
    </w:p>
    <w:p w14:paraId="238281BE"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недопущення обмеження конкуренції у провадженні господарської діяльності.</w:t>
      </w:r>
    </w:p>
    <w:p w14:paraId="60B8144A"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Основні напрями державної політики у сфері ліцензування, законодавчі основи її реалізації визначає Верховна Рада України. Виконання державної політики у сфері ліцензування здійснює Кабінет Міністрів України, Міністерство економічного розвитку і торгівлі, а також спеціально уповноважений ним Департамент з питань ліцензування, спеціально уповноважені виконавчі органи рад, уповноважені провадити ліцензування певних видів господарської діяльності.</w:t>
      </w:r>
    </w:p>
    <w:p w14:paraId="10EF328D"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Безпосередніми органами ліцензування, відповідно до постанови Кабінету Міністрів України від 05.08.2015 р. № 609 «Про затвердження переліку органів ліцензування», є відповідні структурні підрозділи галузевих міністерств і відомств, які надають ліцензії на здійснення певних видів діяльності в галузях народного господарства. Наприклад, органом ліцензування виробництва та ремонту вогнепальної зброї невійськового призначення охоронних послуг є відповідний Департамент Міністерства внутрішніх справ, щодо будівельної діяльності – Державна інспекція архітектури та містобудування тощо.</w:t>
      </w:r>
    </w:p>
    <w:p w14:paraId="437312A1" w14:textId="77777777" w:rsidR="0025735E" w:rsidRPr="00BA1646"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 xml:space="preserve">Закон містить перелік видів господарської діяльності, що підлягають ліцензуванню. Відтак ліцензуванню підлягають: банківська діяльність; 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 медична практика; ветеринарна практика; випуск та проведення лотерей; </w:t>
      </w:r>
      <w:proofErr w:type="spellStart"/>
      <w:r w:rsidRPr="00BA1646">
        <w:rPr>
          <w:rFonts w:ascii="Times New Roman" w:hAnsi="Times New Roman"/>
          <w:sz w:val="24"/>
          <w:szCs w:val="24"/>
        </w:rPr>
        <w:t>туроператорська</w:t>
      </w:r>
      <w:proofErr w:type="spellEnd"/>
      <w:r w:rsidRPr="00BA1646">
        <w:rPr>
          <w:rFonts w:ascii="Times New Roman" w:hAnsi="Times New Roman"/>
          <w:sz w:val="24"/>
          <w:szCs w:val="24"/>
        </w:rPr>
        <w:t xml:space="preserve"> діяльність, зовнішньоекономічна діяльність та інші види діяльності (загалом 34 позиції) – ст. 7 ч. 1 ЗУ «Про ліцензування видів господарської діяльності» (2015 р.)</w:t>
      </w:r>
    </w:p>
    <w:p w14:paraId="20D07A05" w14:textId="61C1FCA2" w:rsidR="00246372" w:rsidRPr="0025735E" w:rsidRDefault="0025735E" w:rsidP="0025735E">
      <w:pPr>
        <w:pStyle w:val="a3"/>
        <w:ind w:firstLine="709"/>
        <w:jc w:val="both"/>
        <w:rPr>
          <w:rFonts w:ascii="Times New Roman" w:hAnsi="Times New Roman"/>
          <w:sz w:val="24"/>
          <w:szCs w:val="24"/>
        </w:rPr>
      </w:pPr>
      <w:r w:rsidRPr="00BA1646">
        <w:rPr>
          <w:rFonts w:ascii="Times New Roman" w:hAnsi="Times New Roman"/>
          <w:sz w:val="24"/>
          <w:szCs w:val="24"/>
        </w:rPr>
        <w:t>Важливим елементом процедури ліцензування є ліцензійні вимоги. Відповідно до законодавства ліцензійні умови – це нормативно-правовий акт Кабінету Міністрів України, положення якого встановлюють вичерпний перелік вимог, обов’язкових для виконання ліцензіатом, та вичерпний перелік документів, що додаються до заяви про отримання ліцензії. Вони містять організаційні, технологічні, кадрові та інші вимоги, а також вичерпний перелік підтвердних документів.</w:t>
      </w:r>
    </w:p>
    <w:sectPr w:rsidR="00246372" w:rsidRPr="00257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491"/>
    <w:multiLevelType w:val="multilevel"/>
    <w:tmpl w:val="7A10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2232A"/>
    <w:multiLevelType w:val="multilevel"/>
    <w:tmpl w:val="8F0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12E20"/>
    <w:multiLevelType w:val="multilevel"/>
    <w:tmpl w:val="5C1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8509A"/>
    <w:multiLevelType w:val="hybridMultilevel"/>
    <w:tmpl w:val="615675DA"/>
    <w:lvl w:ilvl="0" w:tplc="C0A61E5E">
      <w:start w:val="1"/>
      <w:numFmt w:val="decimal"/>
      <w:lvlText w:val="%1."/>
      <w:lvlJc w:val="left"/>
      <w:pPr>
        <w:ind w:left="1069" w:hanging="360"/>
      </w:pPr>
      <w:rPr>
        <w:rFonts w:ascii="Times New Roman" w:hAnsi="Times New Roman" w:hint="default"/>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32EB26BD"/>
    <w:multiLevelType w:val="multilevel"/>
    <w:tmpl w:val="9942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9C3536F"/>
    <w:multiLevelType w:val="multilevel"/>
    <w:tmpl w:val="294C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A6560B"/>
    <w:multiLevelType w:val="multilevel"/>
    <w:tmpl w:val="439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706D5"/>
    <w:multiLevelType w:val="multilevel"/>
    <w:tmpl w:val="A822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64D71BE"/>
    <w:multiLevelType w:val="hybridMultilevel"/>
    <w:tmpl w:val="F9361EE8"/>
    <w:lvl w:ilvl="0" w:tplc="D1C61E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77357C3A"/>
    <w:multiLevelType w:val="multilevel"/>
    <w:tmpl w:val="1B2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B218E"/>
    <w:multiLevelType w:val="multilevel"/>
    <w:tmpl w:val="1A3E1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3"/>
  </w:num>
  <w:num w:numId="4">
    <w:abstractNumId w:val="10"/>
  </w:num>
  <w:num w:numId="5">
    <w:abstractNumId w:val="0"/>
  </w:num>
  <w:num w:numId="6">
    <w:abstractNumId w:val="2"/>
  </w:num>
  <w:num w:numId="7">
    <w:abstractNumId w:val="7"/>
  </w:num>
  <w:num w:numId="8">
    <w:abstractNumId w:val="1"/>
  </w:num>
  <w:num w:numId="9">
    <w:abstractNumId w:val="11"/>
  </w:num>
  <w:num w:numId="10">
    <w:abstractNumId w:val="8"/>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A8"/>
    <w:rsid w:val="00083164"/>
    <w:rsid w:val="000C0B5A"/>
    <w:rsid w:val="000C27A8"/>
    <w:rsid w:val="001F1DB2"/>
    <w:rsid w:val="002319E5"/>
    <w:rsid w:val="00246372"/>
    <w:rsid w:val="00247DA6"/>
    <w:rsid w:val="0025735E"/>
    <w:rsid w:val="002D44F3"/>
    <w:rsid w:val="0036055F"/>
    <w:rsid w:val="00383001"/>
    <w:rsid w:val="00397D0E"/>
    <w:rsid w:val="00454800"/>
    <w:rsid w:val="00474A16"/>
    <w:rsid w:val="004833E9"/>
    <w:rsid w:val="00494851"/>
    <w:rsid w:val="004A6EAE"/>
    <w:rsid w:val="004D578B"/>
    <w:rsid w:val="005A531B"/>
    <w:rsid w:val="005A7B02"/>
    <w:rsid w:val="005E1912"/>
    <w:rsid w:val="006D0BEA"/>
    <w:rsid w:val="00763448"/>
    <w:rsid w:val="00771315"/>
    <w:rsid w:val="007C75F2"/>
    <w:rsid w:val="00833E9D"/>
    <w:rsid w:val="00A56A20"/>
    <w:rsid w:val="00A93D6B"/>
    <w:rsid w:val="00AC51E8"/>
    <w:rsid w:val="00CD6794"/>
    <w:rsid w:val="00DD1FED"/>
    <w:rsid w:val="00E6621B"/>
    <w:rsid w:val="00F807EF"/>
    <w:rsid w:val="00FE7249"/>
    <w:rsid w:val="00FF2241"/>
    <w:rsid w:val="00FF7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15:chartTrackingRefBased/>
  <w15:docId w15:val="{EB15BD01-3D40-48F5-9EE0-284E9D9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7A8"/>
    <w:pPr>
      <w:spacing w:after="200" w:line="276" w:lineRule="auto"/>
    </w:pPr>
    <w:rPr>
      <w:rFonts w:ascii="Calibri" w:eastAsia="Times New Roman" w:hAnsi="Calibri" w:cs="Times New Roman"/>
      <w:lang w:val="ru-RU"/>
    </w:rPr>
  </w:style>
  <w:style w:type="paragraph" w:styleId="2">
    <w:name w:val="heading 2"/>
    <w:basedOn w:val="a"/>
    <w:link w:val="20"/>
    <w:uiPriority w:val="9"/>
    <w:qFormat/>
    <w:rsid w:val="00763448"/>
    <w:pPr>
      <w:spacing w:before="100" w:beforeAutospacing="1" w:after="100" w:afterAutospacing="1" w:line="240" w:lineRule="auto"/>
      <w:outlineLvl w:val="1"/>
    </w:pPr>
    <w:rPr>
      <w:rFonts w:ascii="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 w:type="character" w:customStyle="1" w:styleId="20">
    <w:name w:val="Заголовок 2 Знак"/>
    <w:basedOn w:val="a0"/>
    <w:link w:val="2"/>
    <w:uiPriority w:val="9"/>
    <w:rsid w:val="00763448"/>
    <w:rPr>
      <w:rFonts w:ascii="Times New Roman" w:eastAsia="Times New Roman" w:hAnsi="Times New Roman" w:cs="Times New Roman"/>
      <w:b/>
      <w:bCs/>
      <w:sz w:val="36"/>
      <w:szCs w:val="36"/>
      <w:lang w:eastAsia="uk-UA"/>
    </w:rPr>
  </w:style>
  <w:style w:type="character" w:styleId="a7">
    <w:name w:val="Emphasis"/>
    <w:basedOn w:val="a0"/>
    <w:uiPriority w:val="20"/>
    <w:qFormat/>
    <w:rsid w:val="002D4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93068">
      <w:bodyDiv w:val="1"/>
      <w:marLeft w:val="0"/>
      <w:marRight w:val="0"/>
      <w:marTop w:val="0"/>
      <w:marBottom w:val="0"/>
      <w:divBdr>
        <w:top w:val="none" w:sz="0" w:space="0" w:color="auto"/>
        <w:left w:val="none" w:sz="0" w:space="0" w:color="auto"/>
        <w:bottom w:val="none" w:sz="0" w:space="0" w:color="auto"/>
        <w:right w:val="none" w:sz="0" w:space="0" w:color="auto"/>
      </w:divBdr>
    </w:div>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257368470">
      <w:bodyDiv w:val="1"/>
      <w:marLeft w:val="0"/>
      <w:marRight w:val="0"/>
      <w:marTop w:val="0"/>
      <w:marBottom w:val="0"/>
      <w:divBdr>
        <w:top w:val="none" w:sz="0" w:space="0" w:color="auto"/>
        <w:left w:val="none" w:sz="0" w:space="0" w:color="auto"/>
        <w:bottom w:val="none" w:sz="0" w:space="0" w:color="auto"/>
        <w:right w:val="none" w:sz="0" w:space="0" w:color="auto"/>
      </w:divBdr>
    </w:div>
    <w:div w:id="712118759">
      <w:bodyDiv w:val="1"/>
      <w:marLeft w:val="0"/>
      <w:marRight w:val="0"/>
      <w:marTop w:val="0"/>
      <w:marBottom w:val="0"/>
      <w:divBdr>
        <w:top w:val="none" w:sz="0" w:space="0" w:color="auto"/>
        <w:left w:val="none" w:sz="0" w:space="0" w:color="auto"/>
        <w:bottom w:val="none" w:sz="0" w:space="0" w:color="auto"/>
        <w:right w:val="none" w:sz="0" w:space="0" w:color="auto"/>
      </w:divBdr>
    </w:div>
    <w:div w:id="1023557500">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211917876">
      <w:bodyDiv w:val="1"/>
      <w:marLeft w:val="0"/>
      <w:marRight w:val="0"/>
      <w:marTop w:val="0"/>
      <w:marBottom w:val="0"/>
      <w:divBdr>
        <w:top w:val="none" w:sz="0" w:space="0" w:color="auto"/>
        <w:left w:val="none" w:sz="0" w:space="0" w:color="auto"/>
        <w:bottom w:val="none" w:sz="0" w:space="0" w:color="auto"/>
        <w:right w:val="none" w:sz="0" w:space="0" w:color="auto"/>
      </w:divBdr>
    </w:div>
    <w:div w:id="1220285041">
      <w:bodyDiv w:val="1"/>
      <w:marLeft w:val="0"/>
      <w:marRight w:val="0"/>
      <w:marTop w:val="0"/>
      <w:marBottom w:val="0"/>
      <w:divBdr>
        <w:top w:val="none" w:sz="0" w:space="0" w:color="auto"/>
        <w:left w:val="none" w:sz="0" w:space="0" w:color="auto"/>
        <w:bottom w:val="none" w:sz="0" w:space="0" w:color="auto"/>
        <w:right w:val="none" w:sz="0" w:space="0" w:color="auto"/>
      </w:divBdr>
    </w:div>
    <w:div w:id="133440942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465125717">
      <w:bodyDiv w:val="1"/>
      <w:marLeft w:val="0"/>
      <w:marRight w:val="0"/>
      <w:marTop w:val="0"/>
      <w:marBottom w:val="0"/>
      <w:divBdr>
        <w:top w:val="none" w:sz="0" w:space="0" w:color="auto"/>
        <w:left w:val="none" w:sz="0" w:space="0" w:color="auto"/>
        <w:bottom w:val="none" w:sz="0" w:space="0" w:color="auto"/>
        <w:right w:val="none" w:sz="0" w:space="0" w:color="auto"/>
      </w:divBdr>
    </w:div>
    <w:div w:id="1490097313">
      <w:bodyDiv w:val="1"/>
      <w:marLeft w:val="0"/>
      <w:marRight w:val="0"/>
      <w:marTop w:val="0"/>
      <w:marBottom w:val="0"/>
      <w:divBdr>
        <w:top w:val="none" w:sz="0" w:space="0" w:color="auto"/>
        <w:left w:val="none" w:sz="0" w:space="0" w:color="auto"/>
        <w:bottom w:val="none" w:sz="0" w:space="0" w:color="auto"/>
        <w:right w:val="none" w:sz="0" w:space="0" w:color="auto"/>
      </w:divBdr>
    </w:div>
    <w:div w:id="1704474611">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 w:id="1909881798">
      <w:bodyDiv w:val="1"/>
      <w:marLeft w:val="0"/>
      <w:marRight w:val="0"/>
      <w:marTop w:val="0"/>
      <w:marBottom w:val="0"/>
      <w:divBdr>
        <w:top w:val="none" w:sz="0" w:space="0" w:color="auto"/>
        <w:left w:val="none" w:sz="0" w:space="0" w:color="auto"/>
        <w:bottom w:val="none" w:sz="0" w:space="0" w:color="auto"/>
        <w:right w:val="none" w:sz="0" w:space="0" w:color="auto"/>
      </w:divBdr>
    </w:div>
    <w:div w:id="1919244623">
      <w:bodyDiv w:val="1"/>
      <w:marLeft w:val="0"/>
      <w:marRight w:val="0"/>
      <w:marTop w:val="0"/>
      <w:marBottom w:val="0"/>
      <w:divBdr>
        <w:top w:val="none" w:sz="0" w:space="0" w:color="auto"/>
        <w:left w:val="none" w:sz="0" w:space="0" w:color="auto"/>
        <w:bottom w:val="none" w:sz="0" w:space="0" w:color="auto"/>
        <w:right w:val="none" w:sz="0" w:space="0" w:color="auto"/>
      </w:divBdr>
    </w:div>
    <w:div w:id="1931042396">
      <w:bodyDiv w:val="1"/>
      <w:marLeft w:val="0"/>
      <w:marRight w:val="0"/>
      <w:marTop w:val="0"/>
      <w:marBottom w:val="0"/>
      <w:divBdr>
        <w:top w:val="none" w:sz="0" w:space="0" w:color="auto"/>
        <w:left w:val="none" w:sz="0" w:space="0" w:color="auto"/>
        <w:bottom w:val="none" w:sz="0" w:space="0" w:color="auto"/>
        <w:right w:val="none" w:sz="0" w:space="0" w:color="auto"/>
      </w:divBdr>
    </w:div>
    <w:div w:id="19844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2</Pages>
  <Words>4275</Words>
  <Characters>2438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Volodymyr Dynko</cp:lastModifiedBy>
  <cp:revision>25</cp:revision>
  <dcterms:created xsi:type="dcterms:W3CDTF">2022-08-30T20:52:00Z</dcterms:created>
  <dcterms:modified xsi:type="dcterms:W3CDTF">2022-10-20T13:14:00Z</dcterms:modified>
</cp:coreProperties>
</file>